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36" w:rsidRPr="00270636" w:rsidRDefault="00270636" w:rsidP="00270636">
      <w:pPr>
        <w:spacing w:before="100" w:beforeAutospacing="1" w:after="100" w:afterAutospacing="1"/>
        <w:outlineLvl w:val="1"/>
        <w:rPr>
          <w:rFonts w:ascii="Times New Roman" w:eastAsia="Times New Roman" w:hAnsi="Times New Roman" w:cs="Times New Roman"/>
          <w:b/>
          <w:bCs/>
          <w:color w:val="000000"/>
          <w:sz w:val="36"/>
          <w:szCs w:val="36"/>
          <w:lang w:eastAsia="fr-FR"/>
        </w:rPr>
      </w:pPr>
      <w:r w:rsidRPr="00270636">
        <w:rPr>
          <w:rFonts w:ascii="Times New Roman" w:eastAsia="Times New Roman" w:hAnsi="Times New Roman" w:cs="Times New Roman"/>
          <w:b/>
          <w:bCs/>
          <w:color w:val="000000"/>
          <w:sz w:val="36"/>
          <w:szCs w:val="36"/>
          <w:lang w:eastAsia="fr-FR"/>
        </w:rPr>
        <w:t>Décret n° 2021-1059 du 7 août 2021 modifiant le décret n° 2021-699 du 1er juin 2021 prescrivant les mesures générales nécessaires à la gestion de la sortie de crise sanitaire</w:t>
      </w:r>
    </w:p>
    <w:p w:rsidR="00270636" w:rsidRPr="00270636" w:rsidRDefault="00270636" w:rsidP="00270636">
      <w:pPr>
        <w:spacing w:before="100" w:beforeAutospacing="1" w:after="100" w:afterAutospacing="1"/>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br/>
        <w:t>Le Premier ministre,</w:t>
      </w:r>
      <w:r w:rsidRPr="00270636">
        <w:rPr>
          <w:rFonts w:ascii="Times New Roman" w:eastAsia="Times New Roman" w:hAnsi="Times New Roman" w:cs="Times New Roman"/>
          <w:color w:val="000000"/>
          <w:sz w:val="27"/>
          <w:szCs w:val="27"/>
          <w:lang w:eastAsia="fr-FR"/>
        </w:rPr>
        <w:br/>
        <w:t>Sur le rapport du ministre des solidarités et de la santé,</w:t>
      </w:r>
      <w:r w:rsidRPr="00270636">
        <w:rPr>
          <w:rFonts w:ascii="Times New Roman" w:eastAsia="Times New Roman" w:hAnsi="Times New Roman" w:cs="Times New Roman"/>
          <w:color w:val="000000"/>
          <w:sz w:val="27"/>
          <w:szCs w:val="27"/>
          <w:lang w:eastAsia="fr-FR"/>
        </w:rPr>
        <w:br/>
        <w:t>Vu le code de la santé publique, notamment ses articles L. 3131-15 et L. 3131-17 ;</w:t>
      </w:r>
      <w:r w:rsidRPr="00270636">
        <w:rPr>
          <w:rFonts w:ascii="Times New Roman" w:eastAsia="Times New Roman" w:hAnsi="Times New Roman" w:cs="Times New Roman"/>
          <w:color w:val="000000"/>
          <w:sz w:val="27"/>
          <w:szCs w:val="27"/>
          <w:lang w:eastAsia="fr-FR"/>
        </w:rPr>
        <w:br/>
        <w:t>Vu la loi n° 2021-1040 du 5 août 2021 relative à la gestion de la crise sanitaire, ensemble la décision n° 2021-824 DC du 5 août 2021 du Conseil constitutionnel ;</w:t>
      </w:r>
      <w:r w:rsidRPr="00270636">
        <w:rPr>
          <w:rFonts w:ascii="Times New Roman" w:eastAsia="Times New Roman" w:hAnsi="Times New Roman" w:cs="Times New Roman"/>
          <w:color w:val="000000"/>
          <w:sz w:val="27"/>
          <w:szCs w:val="27"/>
          <w:lang w:eastAsia="fr-FR"/>
        </w:rPr>
        <w:br/>
        <w:t>Vu le décret n° 2021-699 du 1er juin 2021 modifié prescrivant les mesures générales nécessaires à la gestion de la sortie de crise sanitaire ;</w:t>
      </w:r>
      <w:r w:rsidRPr="00270636">
        <w:rPr>
          <w:rFonts w:ascii="Times New Roman" w:eastAsia="Times New Roman" w:hAnsi="Times New Roman" w:cs="Times New Roman"/>
          <w:color w:val="000000"/>
          <w:sz w:val="27"/>
          <w:szCs w:val="27"/>
          <w:lang w:eastAsia="fr-FR"/>
        </w:rPr>
        <w:br/>
        <w:t>Vu le décret n° 2021-901 du 6 juillet 2021 modifié relatif au traitement automatisé de données à caractère personnel dénommé « Convertisseur de certificats » ;</w:t>
      </w:r>
      <w:r w:rsidRPr="00270636">
        <w:rPr>
          <w:rFonts w:ascii="Times New Roman" w:eastAsia="Times New Roman" w:hAnsi="Times New Roman" w:cs="Times New Roman"/>
          <w:color w:val="000000"/>
          <w:sz w:val="27"/>
          <w:szCs w:val="27"/>
          <w:lang w:eastAsia="fr-FR"/>
        </w:rPr>
        <w:br/>
        <w:t>Vu l'avis du comité de scientifiques prévu à l'article L. 3131-19 du code de la santé publique en date du 5 août 2021 ;</w:t>
      </w:r>
      <w:r w:rsidRPr="00270636">
        <w:rPr>
          <w:rFonts w:ascii="Times New Roman" w:eastAsia="Times New Roman" w:hAnsi="Times New Roman" w:cs="Times New Roman"/>
          <w:color w:val="000000"/>
          <w:sz w:val="27"/>
          <w:szCs w:val="27"/>
          <w:lang w:eastAsia="fr-FR"/>
        </w:rPr>
        <w:br/>
        <w:t>Vu la délibération de la Commission nationale de l'informatique et des libertés n° 2021-097 du 6 août 2021 portant avis sur un projet de décret modifiant le décret n° 2021-699 du 1er juin 2021 prescrivant les mesures générales nécessaires à la gestion de la sortie de crise sanitaire et le décret n° 2021-901 du 6 juillet 2021 relatif au traitement automatisé de données à caractère personnel dénommé « Convertisseur de certificats » ;</w:t>
      </w:r>
      <w:r w:rsidRPr="00270636">
        <w:rPr>
          <w:rFonts w:ascii="Times New Roman" w:eastAsia="Times New Roman" w:hAnsi="Times New Roman" w:cs="Times New Roman"/>
          <w:color w:val="000000"/>
          <w:sz w:val="27"/>
          <w:szCs w:val="27"/>
          <w:lang w:eastAsia="fr-FR"/>
        </w:rPr>
        <w:br/>
        <w:t xml:space="preserve">Vu l'avis de la Haute Autorité de santé en date du 4 août 2021 relatif aux contre-indications à la vaccination contre la </w:t>
      </w:r>
      <w:proofErr w:type="spellStart"/>
      <w:r w:rsidRPr="00270636">
        <w:rPr>
          <w:rFonts w:ascii="Times New Roman" w:eastAsia="Times New Roman" w:hAnsi="Times New Roman" w:cs="Times New Roman"/>
          <w:color w:val="000000"/>
          <w:sz w:val="27"/>
          <w:szCs w:val="27"/>
          <w:lang w:eastAsia="fr-FR"/>
        </w:rPr>
        <w:t>covid</w:t>
      </w:r>
      <w:proofErr w:type="spellEnd"/>
      <w:r w:rsidRPr="00270636">
        <w:rPr>
          <w:rFonts w:ascii="Times New Roman" w:eastAsia="Times New Roman" w:hAnsi="Times New Roman" w:cs="Times New Roman"/>
          <w:color w:val="000000"/>
          <w:sz w:val="27"/>
          <w:szCs w:val="27"/>
          <w:lang w:eastAsia="fr-FR"/>
        </w:rPr>
        <w:t>-19 ;</w:t>
      </w:r>
      <w:r w:rsidRPr="00270636">
        <w:rPr>
          <w:rFonts w:ascii="Times New Roman" w:eastAsia="Times New Roman" w:hAnsi="Times New Roman" w:cs="Times New Roman"/>
          <w:color w:val="000000"/>
          <w:sz w:val="27"/>
          <w:szCs w:val="27"/>
          <w:lang w:eastAsia="fr-FR"/>
        </w:rPr>
        <w:br/>
        <w:t>Vu l'avis de la Haute Autorité de la santé en date du 6 août 2021 relatif à l'intégration des autotests de détection antigénique supervisés parmi les preuves justifiant l'absence de contamination par le virus SARS-</w:t>
      </w:r>
      <w:proofErr w:type="spellStart"/>
      <w:r w:rsidRPr="00270636">
        <w:rPr>
          <w:rFonts w:ascii="Times New Roman" w:eastAsia="Times New Roman" w:hAnsi="Times New Roman" w:cs="Times New Roman"/>
          <w:color w:val="000000"/>
          <w:sz w:val="27"/>
          <w:szCs w:val="27"/>
          <w:lang w:eastAsia="fr-FR"/>
        </w:rPr>
        <w:t>CoV</w:t>
      </w:r>
      <w:proofErr w:type="spellEnd"/>
      <w:r w:rsidRPr="00270636">
        <w:rPr>
          <w:rFonts w:ascii="Times New Roman" w:eastAsia="Times New Roman" w:hAnsi="Times New Roman" w:cs="Times New Roman"/>
          <w:color w:val="000000"/>
          <w:sz w:val="27"/>
          <w:szCs w:val="27"/>
          <w:lang w:eastAsia="fr-FR"/>
        </w:rPr>
        <w:t>-2 dans le cadre du passe sanitaire et à l'extension de la durée de validité des résultats négatifs d'un examen de dépistage de virologique,</w:t>
      </w:r>
      <w:r w:rsidRPr="00270636">
        <w:rPr>
          <w:rFonts w:ascii="Times New Roman" w:eastAsia="Times New Roman" w:hAnsi="Times New Roman" w:cs="Times New Roman"/>
          <w:color w:val="000000"/>
          <w:sz w:val="27"/>
          <w:szCs w:val="27"/>
          <w:lang w:eastAsia="fr-FR"/>
        </w:rPr>
        <w:br/>
        <w:t>Décrète :</w:t>
      </w:r>
    </w:p>
    <w:p w:rsidR="00270636" w:rsidRPr="00270636" w:rsidRDefault="00270636" w:rsidP="00270636">
      <w:pPr>
        <w:spacing w:before="100" w:beforeAutospacing="1" w:after="100" w:afterAutospacing="1"/>
        <w:ind w:left="450"/>
        <w:outlineLvl w:val="3"/>
        <w:rPr>
          <w:rFonts w:ascii="Times New Roman" w:eastAsia="Times New Roman" w:hAnsi="Times New Roman" w:cs="Times New Roman"/>
          <w:b/>
          <w:bCs/>
          <w:color w:val="000000"/>
          <w:sz w:val="27"/>
          <w:szCs w:val="27"/>
          <w:lang w:eastAsia="fr-FR"/>
        </w:rPr>
      </w:pPr>
      <w:r w:rsidRPr="00270636">
        <w:rPr>
          <w:rFonts w:ascii="Times New Roman" w:eastAsia="Times New Roman" w:hAnsi="Times New Roman" w:cs="Times New Roman"/>
          <w:b/>
          <w:bCs/>
          <w:color w:val="000000"/>
          <w:sz w:val="27"/>
          <w:szCs w:val="27"/>
          <w:lang w:eastAsia="fr-FR"/>
        </w:rPr>
        <w:t>Article 1</w:t>
      </w:r>
    </w:p>
    <w:p w:rsidR="00270636" w:rsidRPr="00270636" w:rsidRDefault="00270636" w:rsidP="00270636">
      <w:pPr>
        <w:spacing w:before="100" w:beforeAutospacing="1" w:after="100" w:afterAutospacing="1"/>
        <w:ind w:left="450"/>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br/>
        <w:t>Le décret du 1er juin 2021 susvisé est ainsi modifié :</w:t>
      </w:r>
      <w:r w:rsidRPr="00270636">
        <w:rPr>
          <w:rFonts w:ascii="Times New Roman" w:eastAsia="Times New Roman" w:hAnsi="Times New Roman" w:cs="Times New Roman"/>
          <w:color w:val="000000"/>
          <w:sz w:val="27"/>
          <w:szCs w:val="27"/>
          <w:lang w:eastAsia="fr-FR"/>
        </w:rPr>
        <w:br/>
        <w:t>1° Au 1° de l'article 2-2, les mots : « examen de dépistage RT-PCR ou un test antigénique » sont remplacés par les mots : « examen de dépistage RT-PCR, un test antigénique ou un autotest réalisé sous la supervision d'un des professionnels de santé, mentionnés à l'article 1er du décret n° 2020-1387 du 14 novembre 2020 fixant la liste des professionnels de santé habilités à renseigner les systèmes d'information mentionnés à l'article 11 de la loi du 11 mai 2020 prorogeant l'état d'urgence sanitaire et complétant ses dispositions, » ;</w:t>
      </w:r>
      <w:r w:rsidRPr="00270636">
        <w:rPr>
          <w:rFonts w:ascii="Times New Roman" w:eastAsia="Times New Roman" w:hAnsi="Times New Roman" w:cs="Times New Roman"/>
          <w:color w:val="000000"/>
          <w:sz w:val="27"/>
          <w:szCs w:val="27"/>
          <w:lang w:eastAsia="fr-FR"/>
        </w:rPr>
        <w:br/>
        <w:t>2° L'article 2-3 est ainsi modifié :</w:t>
      </w:r>
      <w:r w:rsidRPr="00270636">
        <w:rPr>
          <w:rFonts w:ascii="Times New Roman" w:eastAsia="Times New Roman" w:hAnsi="Times New Roman" w:cs="Times New Roman"/>
          <w:color w:val="000000"/>
          <w:sz w:val="27"/>
          <w:szCs w:val="27"/>
          <w:lang w:eastAsia="fr-FR"/>
        </w:rPr>
        <w:br/>
      </w:r>
      <w:r w:rsidRPr="00270636">
        <w:rPr>
          <w:rFonts w:ascii="Times New Roman" w:eastAsia="Times New Roman" w:hAnsi="Times New Roman" w:cs="Times New Roman"/>
          <w:color w:val="000000"/>
          <w:sz w:val="27"/>
          <w:szCs w:val="27"/>
          <w:lang w:eastAsia="fr-FR"/>
        </w:rPr>
        <w:lastRenderedPageBreak/>
        <w:t>a) Après le 2° du I, il est inséré un 3° ainsi rédigé :</w:t>
      </w:r>
      <w:r w:rsidRPr="00270636">
        <w:rPr>
          <w:rFonts w:ascii="Times New Roman" w:eastAsia="Times New Roman" w:hAnsi="Times New Roman" w:cs="Times New Roman"/>
          <w:color w:val="000000"/>
          <w:sz w:val="27"/>
          <w:szCs w:val="27"/>
          <w:lang w:eastAsia="fr-FR"/>
        </w:rPr>
        <w:br/>
        <w:t>« 3° Pour les justificatifs mentionnés aux 1° et 2° et le justificatif attestant d'une contre-indication médicale à la vaccination, par le traitement automatisé de données à caractère personnel dénommé “Convertisseur de certificats” mis en œuvre en application du décret du 6 juillet 2021 susvisé, dans sa rédaction issue du décret n° 2021-1060 du 7 août 2021 relatif au traitement automatisé de données à caractère personnel dénommé “Convertisseur de certificats” » ;</w:t>
      </w:r>
      <w:r w:rsidRPr="00270636">
        <w:rPr>
          <w:rFonts w:ascii="Times New Roman" w:eastAsia="Times New Roman" w:hAnsi="Times New Roman" w:cs="Times New Roman"/>
          <w:color w:val="000000"/>
          <w:sz w:val="27"/>
          <w:szCs w:val="27"/>
          <w:lang w:eastAsia="fr-FR"/>
        </w:rPr>
        <w:br/>
        <w:t>b) Au deuxième alinéa du II, après le mot : « établissements », est inséré le mot : « , services » ;</w:t>
      </w:r>
      <w:r w:rsidRPr="00270636">
        <w:rPr>
          <w:rFonts w:ascii="Times New Roman" w:eastAsia="Times New Roman" w:hAnsi="Times New Roman" w:cs="Times New Roman"/>
          <w:color w:val="000000"/>
          <w:sz w:val="27"/>
          <w:szCs w:val="27"/>
          <w:lang w:eastAsia="fr-FR"/>
        </w:rPr>
        <w:br/>
        <w:t>c) Au 3° de ce même II, les mots : « lieux et établissements » sont remplacés par les mots : « lieux, établissements et services » ;</w:t>
      </w:r>
      <w:r w:rsidRPr="00270636">
        <w:rPr>
          <w:rFonts w:ascii="Times New Roman" w:eastAsia="Times New Roman" w:hAnsi="Times New Roman" w:cs="Times New Roman"/>
          <w:color w:val="000000"/>
          <w:sz w:val="27"/>
          <w:szCs w:val="27"/>
          <w:lang w:eastAsia="fr-FR"/>
        </w:rPr>
        <w:br/>
        <w:t>d) Le dernier alinéa de ce même II est remplacé par un alinéa ainsi rédigé :</w:t>
      </w:r>
      <w:r w:rsidRPr="00270636">
        <w:rPr>
          <w:rFonts w:ascii="Times New Roman" w:eastAsia="Times New Roman" w:hAnsi="Times New Roman" w:cs="Times New Roman"/>
          <w:color w:val="000000"/>
          <w:sz w:val="27"/>
          <w:szCs w:val="27"/>
          <w:lang w:eastAsia="fr-FR"/>
        </w:rPr>
        <w:br/>
        <w:t>« Les personnes mentionnées aux 1° à 3° du présent II habilitent nommément les personnes et services autorisés à contrôler les justificatifs pour leur compte, selon les modalités décrites au III du présent article. Elles tiennent un registre détaillant les personnes et services ainsi habilités et la date de leur habilitation, ainsi que les jours et horaires des contrôles effectués par ces personnes et services. » ;</w:t>
      </w:r>
      <w:r w:rsidRPr="00270636">
        <w:rPr>
          <w:rFonts w:ascii="Times New Roman" w:eastAsia="Times New Roman" w:hAnsi="Times New Roman" w:cs="Times New Roman"/>
          <w:color w:val="000000"/>
          <w:sz w:val="27"/>
          <w:szCs w:val="27"/>
          <w:lang w:eastAsia="fr-FR"/>
        </w:rPr>
        <w:br/>
        <w:t xml:space="preserve">e) Le III est remplacé par les dispositions suivantes </w:t>
      </w:r>
      <w:proofErr w:type="gramStart"/>
      <w:r w:rsidRPr="00270636">
        <w:rPr>
          <w:rFonts w:ascii="Times New Roman" w:eastAsia="Times New Roman" w:hAnsi="Times New Roman" w:cs="Times New Roman"/>
          <w:color w:val="000000"/>
          <w:sz w:val="27"/>
          <w:szCs w:val="27"/>
          <w:lang w:eastAsia="fr-FR"/>
        </w:rPr>
        <w:t>:</w:t>
      </w:r>
      <w:proofErr w:type="gramEnd"/>
      <w:r w:rsidRPr="00270636">
        <w:rPr>
          <w:rFonts w:ascii="Times New Roman" w:eastAsia="Times New Roman" w:hAnsi="Times New Roman" w:cs="Times New Roman"/>
          <w:color w:val="000000"/>
          <w:sz w:val="27"/>
          <w:szCs w:val="27"/>
          <w:lang w:eastAsia="fr-FR"/>
        </w:rPr>
        <w:br/>
        <w:t>« III. - La lecture des justificatifs par les personnes et services mentionnés au II peut être réalisée au moyen d'une application mobile dénommée “</w:t>
      </w:r>
      <w:proofErr w:type="spellStart"/>
      <w:r w:rsidRPr="00270636">
        <w:rPr>
          <w:rFonts w:ascii="Times New Roman" w:eastAsia="Times New Roman" w:hAnsi="Times New Roman" w:cs="Times New Roman"/>
          <w:color w:val="000000"/>
          <w:sz w:val="27"/>
          <w:szCs w:val="27"/>
          <w:lang w:eastAsia="fr-FR"/>
        </w:rPr>
        <w:t>TousAntiCovid</w:t>
      </w:r>
      <w:proofErr w:type="spellEnd"/>
      <w:r w:rsidRPr="00270636">
        <w:rPr>
          <w:rFonts w:ascii="Times New Roman" w:eastAsia="Times New Roman" w:hAnsi="Times New Roman" w:cs="Times New Roman"/>
          <w:color w:val="000000"/>
          <w:sz w:val="27"/>
          <w:szCs w:val="27"/>
          <w:lang w:eastAsia="fr-FR"/>
        </w:rPr>
        <w:t xml:space="preserve"> </w:t>
      </w:r>
      <w:proofErr w:type="spellStart"/>
      <w:r w:rsidRPr="00270636">
        <w:rPr>
          <w:rFonts w:ascii="Times New Roman" w:eastAsia="Times New Roman" w:hAnsi="Times New Roman" w:cs="Times New Roman"/>
          <w:color w:val="000000"/>
          <w:sz w:val="27"/>
          <w:szCs w:val="27"/>
          <w:lang w:eastAsia="fr-FR"/>
        </w:rPr>
        <w:t>Vérif</w:t>
      </w:r>
      <w:proofErr w:type="spellEnd"/>
      <w:r w:rsidRPr="00270636">
        <w:rPr>
          <w:rFonts w:ascii="Times New Roman" w:eastAsia="Times New Roman" w:hAnsi="Times New Roman" w:cs="Times New Roman"/>
          <w:color w:val="000000"/>
          <w:sz w:val="27"/>
          <w:szCs w:val="27"/>
          <w:lang w:eastAsia="fr-FR"/>
        </w:rPr>
        <w:t>”, mise en œuvre par le ministre chargé de la santé (direction générale de la santé), ou de tout autre dispositif de lecture répondant à des conditions fixées par un arrêté des ministres chargés de la santé et du numérique. Les personnes mentionnées aux 1° et 3° utilisant ces derniers dispositifs en informent le préfet de département</w:t>
      </w:r>
      <w:proofErr w:type="gramStart"/>
      <w:r w:rsidRPr="00270636">
        <w:rPr>
          <w:rFonts w:ascii="Times New Roman" w:eastAsia="Times New Roman" w:hAnsi="Times New Roman" w:cs="Times New Roman"/>
          <w:color w:val="000000"/>
          <w:sz w:val="27"/>
          <w:szCs w:val="27"/>
          <w:lang w:eastAsia="fr-FR"/>
        </w:rPr>
        <w:t>.</w:t>
      </w:r>
      <w:proofErr w:type="gramEnd"/>
      <w:r w:rsidRPr="00270636">
        <w:rPr>
          <w:rFonts w:ascii="Times New Roman" w:eastAsia="Times New Roman" w:hAnsi="Times New Roman" w:cs="Times New Roman"/>
          <w:color w:val="000000"/>
          <w:sz w:val="27"/>
          <w:szCs w:val="27"/>
          <w:lang w:eastAsia="fr-FR"/>
        </w:rPr>
        <w:br/>
        <w:t>« Pour le contrôle des justificatifs requis en application du 1° du A du II de l'article 1er de la loi du 31 mai 2021 susvisée, les personnes et services habilités peuvent lire les noms, prénoms et date de naissance de la personne concernée par le justificatif, ainsi que les informations relatives à l'examen de dépistage ou au vaccin réalisé (date de réalisation, état dans lequel l'acte a été réalisé, type d'examen ou de vaccin, fabricant de l'examen ou du vaccin, rang d'injection du vaccin ou résultat de l'examen, organisme qui a délivré le certificat, centre de test et identifiant unique du certificat).</w:t>
      </w:r>
      <w:r w:rsidRPr="00270636">
        <w:rPr>
          <w:rFonts w:ascii="Times New Roman" w:eastAsia="Times New Roman" w:hAnsi="Times New Roman" w:cs="Times New Roman"/>
          <w:color w:val="000000"/>
          <w:sz w:val="27"/>
          <w:szCs w:val="27"/>
          <w:lang w:eastAsia="fr-FR"/>
        </w:rPr>
        <w:br/>
        <w:t>« Pour le contrôle des justificatifs requis en application du 2° du A du II de l'article 1er de la loi du 31 mai 2021 susvisée, les personnes et services habilités peuvent lire les noms, prénoms et date de naissance de la personne concernée par le justificatif, ainsi qu'un résultat positif ou négatif de détention d'un justificatif conforme, établi conformément aux dispositions de l'article 2-2.</w:t>
      </w:r>
      <w:r w:rsidRPr="00270636">
        <w:rPr>
          <w:rFonts w:ascii="Times New Roman" w:eastAsia="Times New Roman" w:hAnsi="Times New Roman" w:cs="Times New Roman"/>
          <w:color w:val="000000"/>
          <w:sz w:val="27"/>
          <w:szCs w:val="27"/>
          <w:lang w:eastAsia="fr-FR"/>
        </w:rPr>
        <w:br/>
        <w:t>« Sur l'application “</w:t>
      </w:r>
      <w:proofErr w:type="spellStart"/>
      <w:r w:rsidRPr="00270636">
        <w:rPr>
          <w:rFonts w:ascii="Times New Roman" w:eastAsia="Times New Roman" w:hAnsi="Times New Roman" w:cs="Times New Roman"/>
          <w:color w:val="000000"/>
          <w:sz w:val="27"/>
          <w:szCs w:val="27"/>
          <w:lang w:eastAsia="fr-FR"/>
        </w:rPr>
        <w:t>TousAntiCovid</w:t>
      </w:r>
      <w:proofErr w:type="spellEnd"/>
      <w:r w:rsidRPr="00270636">
        <w:rPr>
          <w:rFonts w:ascii="Times New Roman" w:eastAsia="Times New Roman" w:hAnsi="Times New Roman" w:cs="Times New Roman"/>
          <w:color w:val="000000"/>
          <w:sz w:val="27"/>
          <w:szCs w:val="27"/>
          <w:lang w:eastAsia="fr-FR"/>
        </w:rPr>
        <w:t xml:space="preserve"> </w:t>
      </w:r>
      <w:proofErr w:type="spellStart"/>
      <w:r w:rsidRPr="00270636">
        <w:rPr>
          <w:rFonts w:ascii="Times New Roman" w:eastAsia="Times New Roman" w:hAnsi="Times New Roman" w:cs="Times New Roman"/>
          <w:color w:val="000000"/>
          <w:sz w:val="27"/>
          <w:szCs w:val="27"/>
          <w:lang w:eastAsia="fr-FR"/>
        </w:rPr>
        <w:t>Vérif</w:t>
      </w:r>
      <w:proofErr w:type="spellEnd"/>
      <w:r w:rsidRPr="00270636">
        <w:rPr>
          <w:rFonts w:ascii="Times New Roman" w:eastAsia="Times New Roman" w:hAnsi="Times New Roman" w:cs="Times New Roman"/>
          <w:color w:val="000000"/>
          <w:sz w:val="27"/>
          <w:szCs w:val="27"/>
          <w:lang w:eastAsia="fr-FR"/>
        </w:rPr>
        <w:t xml:space="preserve">”, les données ne sont traitées qu'une seule fois, lors de la lecture du justificatif, et ne sont pas conservées. Sur les autres dispositifs de lecture mentionnés au premier alinéa du présent III, les données ne sont traitées que pour la durée d'un seul et même contrôle d'un déplacement ou d'un accès à un lieu, établissement ou service et seules les données mentionnées à l'alinéa précédent peuvent être </w:t>
      </w:r>
      <w:proofErr w:type="gramStart"/>
      <w:r w:rsidRPr="00270636">
        <w:rPr>
          <w:rFonts w:ascii="Times New Roman" w:eastAsia="Times New Roman" w:hAnsi="Times New Roman" w:cs="Times New Roman"/>
          <w:color w:val="000000"/>
          <w:sz w:val="27"/>
          <w:szCs w:val="27"/>
          <w:lang w:eastAsia="fr-FR"/>
        </w:rPr>
        <w:t>conservées</w:t>
      </w:r>
      <w:proofErr w:type="gramEnd"/>
      <w:r w:rsidRPr="00270636">
        <w:rPr>
          <w:rFonts w:ascii="Times New Roman" w:eastAsia="Times New Roman" w:hAnsi="Times New Roman" w:cs="Times New Roman"/>
          <w:color w:val="000000"/>
          <w:sz w:val="27"/>
          <w:szCs w:val="27"/>
          <w:lang w:eastAsia="fr-FR"/>
        </w:rPr>
        <w:t xml:space="preserve"> </w:t>
      </w:r>
      <w:r w:rsidRPr="00270636">
        <w:rPr>
          <w:rFonts w:ascii="Times New Roman" w:eastAsia="Times New Roman" w:hAnsi="Times New Roman" w:cs="Times New Roman"/>
          <w:color w:val="000000"/>
          <w:sz w:val="27"/>
          <w:szCs w:val="27"/>
          <w:lang w:eastAsia="fr-FR"/>
        </w:rPr>
        <w:lastRenderedPageBreak/>
        <w:t>temporairement pour la durée du contrôle. Les données ne peuvent être conservées et réutilisées à d'autres fins. » ;</w:t>
      </w:r>
      <w:r w:rsidRPr="00270636">
        <w:rPr>
          <w:rFonts w:ascii="Times New Roman" w:eastAsia="Times New Roman" w:hAnsi="Times New Roman" w:cs="Times New Roman"/>
          <w:color w:val="000000"/>
          <w:sz w:val="27"/>
          <w:szCs w:val="27"/>
          <w:lang w:eastAsia="fr-FR"/>
        </w:rPr>
        <w:br/>
        <w:t>f) Au IV, les mots : « l'application “</w:t>
      </w:r>
      <w:proofErr w:type="spellStart"/>
      <w:r w:rsidRPr="00270636">
        <w:rPr>
          <w:rFonts w:ascii="Times New Roman" w:eastAsia="Times New Roman" w:hAnsi="Times New Roman" w:cs="Times New Roman"/>
          <w:color w:val="000000"/>
          <w:sz w:val="27"/>
          <w:szCs w:val="27"/>
          <w:lang w:eastAsia="fr-FR"/>
        </w:rPr>
        <w:t>TousAntiCovid</w:t>
      </w:r>
      <w:proofErr w:type="spellEnd"/>
      <w:r w:rsidRPr="00270636">
        <w:rPr>
          <w:rFonts w:ascii="Times New Roman" w:eastAsia="Times New Roman" w:hAnsi="Times New Roman" w:cs="Times New Roman"/>
          <w:color w:val="000000"/>
          <w:sz w:val="27"/>
          <w:szCs w:val="27"/>
          <w:lang w:eastAsia="fr-FR"/>
        </w:rPr>
        <w:t xml:space="preserve"> </w:t>
      </w:r>
      <w:proofErr w:type="spellStart"/>
      <w:r w:rsidRPr="00270636">
        <w:rPr>
          <w:rFonts w:ascii="Times New Roman" w:eastAsia="Times New Roman" w:hAnsi="Times New Roman" w:cs="Times New Roman"/>
          <w:color w:val="000000"/>
          <w:sz w:val="27"/>
          <w:szCs w:val="27"/>
          <w:lang w:eastAsia="fr-FR"/>
        </w:rPr>
        <w:t>Vérif</w:t>
      </w:r>
      <w:proofErr w:type="spellEnd"/>
      <w:r w:rsidRPr="00270636">
        <w:rPr>
          <w:rFonts w:ascii="Times New Roman" w:eastAsia="Times New Roman" w:hAnsi="Times New Roman" w:cs="Times New Roman"/>
          <w:color w:val="000000"/>
          <w:sz w:val="27"/>
          <w:szCs w:val="27"/>
          <w:lang w:eastAsia="fr-FR"/>
        </w:rPr>
        <w:t>” par les personnes habilitées » sont remplacés par les mots : « l'application “</w:t>
      </w:r>
      <w:proofErr w:type="spellStart"/>
      <w:r w:rsidRPr="00270636">
        <w:rPr>
          <w:rFonts w:ascii="Times New Roman" w:eastAsia="Times New Roman" w:hAnsi="Times New Roman" w:cs="Times New Roman"/>
          <w:color w:val="000000"/>
          <w:sz w:val="27"/>
          <w:szCs w:val="27"/>
          <w:lang w:eastAsia="fr-FR"/>
        </w:rPr>
        <w:t>TousAntiCovid</w:t>
      </w:r>
      <w:proofErr w:type="spellEnd"/>
      <w:r w:rsidRPr="00270636">
        <w:rPr>
          <w:rFonts w:ascii="Times New Roman" w:eastAsia="Times New Roman" w:hAnsi="Times New Roman" w:cs="Times New Roman"/>
          <w:color w:val="000000"/>
          <w:sz w:val="27"/>
          <w:szCs w:val="27"/>
          <w:lang w:eastAsia="fr-FR"/>
        </w:rPr>
        <w:t xml:space="preserve"> </w:t>
      </w:r>
      <w:proofErr w:type="spellStart"/>
      <w:r w:rsidRPr="00270636">
        <w:rPr>
          <w:rFonts w:ascii="Times New Roman" w:eastAsia="Times New Roman" w:hAnsi="Times New Roman" w:cs="Times New Roman"/>
          <w:color w:val="000000"/>
          <w:sz w:val="27"/>
          <w:szCs w:val="27"/>
          <w:lang w:eastAsia="fr-FR"/>
        </w:rPr>
        <w:t>Vérif</w:t>
      </w:r>
      <w:proofErr w:type="spellEnd"/>
      <w:r w:rsidRPr="00270636">
        <w:rPr>
          <w:rFonts w:ascii="Times New Roman" w:eastAsia="Times New Roman" w:hAnsi="Times New Roman" w:cs="Times New Roman"/>
          <w:color w:val="000000"/>
          <w:sz w:val="27"/>
          <w:szCs w:val="27"/>
          <w:lang w:eastAsia="fr-FR"/>
        </w:rPr>
        <w:t xml:space="preserve">” ou à un autre dispositif de lecture par les personnes et services habilités » </w:t>
      </w:r>
      <w:proofErr w:type="gramStart"/>
      <w:r w:rsidRPr="00270636">
        <w:rPr>
          <w:rFonts w:ascii="Times New Roman" w:eastAsia="Times New Roman" w:hAnsi="Times New Roman" w:cs="Times New Roman"/>
          <w:color w:val="000000"/>
          <w:sz w:val="27"/>
          <w:szCs w:val="27"/>
          <w:lang w:eastAsia="fr-FR"/>
        </w:rPr>
        <w:t>;</w:t>
      </w:r>
      <w:proofErr w:type="gramEnd"/>
      <w:r w:rsidRPr="00270636">
        <w:rPr>
          <w:rFonts w:ascii="Times New Roman" w:eastAsia="Times New Roman" w:hAnsi="Times New Roman" w:cs="Times New Roman"/>
          <w:color w:val="000000"/>
          <w:sz w:val="27"/>
          <w:szCs w:val="27"/>
          <w:lang w:eastAsia="fr-FR"/>
        </w:rPr>
        <w:br/>
        <w:t>3° Après l'article 2-3, il est inséré un article 2-4 ainsi rédigé :</w:t>
      </w:r>
    </w:p>
    <w:p w:rsidR="00270636" w:rsidRPr="00270636" w:rsidRDefault="00270636" w:rsidP="00270636">
      <w:pPr>
        <w:spacing w:before="100" w:beforeAutospacing="1" w:after="100" w:afterAutospacing="1"/>
        <w:ind w:left="450"/>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br/>
        <w:t xml:space="preserve">« Art. 2-4. - Les cas de contre-indication médicale faisant obstacle à la vaccination contre la </w:t>
      </w:r>
      <w:proofErr w:type="spellStart"/>
      <w:r w:rsidRPr="00270636">
        <w:rPr>
          <w:rFonts w:ascii="Times New Roman" w:eastAsia="Times New Roman" w:hAnsi="Times New Roman" w:cs="Times New Roman"/>
          <w:color w:val="000000"/>
          <w:sz w:val="27"/>
          <w:szCs w:val="27"/>
          <w:lang w:eastAsia="fr-FR"/>
        </w:rPr>
        <w:t>covid</w:t>
      </w:r>
      <w:proofErr w:type="spellEnd"/>
      <w:r w:rsidRPr="00270636">
        <w:rPr>
          <w:rFonts w:ascii="Times New Roman" w:eastAsia="Times New Roman" w:hAnsi="Times New Roman" w:cs="Times New Roman"/>
          <w:color w:val="000000"/>
          <w:sz w:val="27"/>
          <w:szCs w:val="27"/>
          <w:lang w:eastAsia="fr-FR"/>
        </w:rPr>
        <w:t>-19 et permettant la délivrance du document pouvant être présenté dans les cas prévus au 2° du A du II de l'article 1er de la loi du 31 mai 2021 susvisée sont mentionnés à l'annexe 2 du présent décret</w:t>
      </w:r>
      <w:proofErr w:type="gramStart"/>
      <w:r w:rsidRPr="00270636">
        <w:rPr>
          <w:rFonts w:ascii="Times New Roman" w:eastAsia="Times New Roman" w:hAnsi="Times New Roman" w:cs="Times New Roman"/>
          <w:color w:val="000000"/>
          <w:sz w:val="27"/>
          <w:szCs w:val="27"/>
          <w:lang w:eastAsia="fr-FR"/>
        </w:rPr>
        <w:t>.</w:t>
      </w:r>
      <w:proofErr w:type="gramEnd"/>
      <w:r w:rsidRPr="00270636">
        <w:rPr>
          <w:rFonts w:ascii="Times New Roman" w:eastAsia="Times New Roman" w:hAnsi="Times New Roman" w:cs="Times New Roman"/>
          <w:color w:val="000000"/>
          <w:sz w:val="27"/>
          <w:szCs w:val="27"/>
          <w:lang w:eastAsia="fr-FR"/>
        </w:rPr>
        <w:br/>
        <w:t>« L'attestation de contre-indication médicale est remise à la personne concernée par un médecin. » ;</w:t>
      </w:r>
    </w:p>
    <w:p w:rsidR="00270636" w:rsidRPr="00270636" w:rsidRDefault="00270636" w:rsidP="00270636">
      <w:pPr>
        <w:spacing w:before="100" w:beforeAutospacing="1" w:after="100" w:afterAutospacing="1"/>
        <w:ind w:left="450"/>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br/>
        <w:t xml:space="preserve">4° Au premier alinéa de l'article 23-5, les mots : « à destination de la Corse en provenance du territoire hexagonal » sont remplacés par les mots : « entre la Corse et le territoire hexagonal » </w:t>
      </w:r>
      <w:proofErr w:type="gramStart"/>
      <w:r w:rsidRPr="00270636">
        <w:rPr>
          <w:rFonts w:ascii="Times New Roman" w:eastAsia="Times New Roman" w:hAnsi="Times New Roman" w:cs="Times New Roman"/>
          <w:color w:val="000000"/>
          <w:sz w:val="27"/>
          <w:szCs w:val="27"/>
          <w:lang w:eastAsia="fr-FR"/>
        </w:rPr>
        <w:t>;</w:t>
      </w:r>
      <w:proofErr w:type="gramEnd"/>
      <w:r w:rsidRPr="00270636">
        <w:rPr>
          <w:rFonts w:ascii="Times New Roman" w:eastAsia="Times New Roman" w:hAnsi="Times New Roman" w:cs="Times New Roman"/>
          <w:color w:val="000000"/>
          <w:sz w:val="27"/>
          <w:szCs w:val="27"/>
          <w:lang w:eastAsia="fr-FR"/>
        </w:rPr>
        <w:br/>
        <w:t>5° Dans l'intitulé du chapitre 7, après le mot : « lieux », est inséré le mot : « , services » ;</w:t>
      </w:r>
      <w:r w:rsidRPr="00270636">
        <w:rPr>
          <w:rFonts w:ascii="Times New Roman" w:eastAsia="Times New Roman" w:hAnsi="Times New Roman" w:cs="Times New Roman"/>
          <w:color w:val="000000"/>
          <w:sz w:val="27"/>
          <w:szCs w:val="27"/>
          <w:lang w:eastAsia="fr-FR"/>
        </w:rPr>
        <w:br/>
        <w:t>6° L'article 47-1 est remplacé par les dispositions suivantes :</w:t>
      </w:r>
    </w:p>
    <w:p w:rsidR="00270636" w:rsidRPr="00270636" w:rsidRDefault="00270636" w:rsidP="00270636">
      <w:pPr>
        <w:spacing w:before="100" w:beforeAutospacing="1" w:after="100" w:afterAutospacing="1"/>
        <w:ind w:left="450"/>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br/>
        <w:t xml:space="preserve">« Art. 47-1. - I. - Les personnes majeures doivent, pour être accueillies dans les établissements, lieux, services et évènements mentionnés aux II et III, présenter l'un des documents suivants </w:t>
      </w:r>
      <w:proofErr w:type="gramStart"/>
      <w:r w:rsidRPr="00270636">
        <w:rPr>
          <w:rFonts w:ascii="Times New Roman" w:eastAsia="Times New Roman" w:hAnsi="Times New Roman" w:cs="Times New Roman"/>
          <w:color w:val="000000"/>
          <w:sz w:val="27"/>
          <w:szCs w:val="27"/>
          <w:lang w:eastAsia="fr-FR"/>
        </w:rPr>
        <w:t>:</w:t>
      </w:r>
      <w:proofErr w:type="gramEnd"/>
      <w:r w:rsidRPr="00270636">
        <w:rPr>
          <w:rFonts w:ascii="Times New Roman" w:eastAsia="Times New Roman" w:hAnsi="Times New Roman" w:cs="Times New Roman"/>
          <w:color w:val="000000"/>
          <w:sz w:val="27"/>
          <w:szCs w:val="27"/>
          <w:lang w:eastAsia="fr-FR"/>
        </w:rPr>
        <w:br/>
        <w:t>« 1° Le résultat d'un examen de dépistage, d'un test ou d'un autotest mentionné au 1° de l'article 2-2 réalisé moins de 72 heures avant l'accès à l'établissement, au lieu, au service ou à l'évènement. Les seuls tests antigéniques pouvant être valablement présentés pour l'application du présent 1° sont ceux permettant la détection de la protéine N du SARS-</w:t>
      </w:r>
      <w:proofErr w:type="spellStart"/>
      <w:r w:rsidRPr="00270636">
        <w:rPr>
          <w:rFonts w:ascii="Times New Roman" w:eastAsia="Times New Roman" w:hAnsi="Times New Roman" w:cs="Times New Roman"/>
          <w:color w:val="000000"/>
          <w:sz w:val="27"/>
          <w:szCs w:val="27"/>
          <w:lang w:eastAsia="fr-FR"/>
        </w:rPr>
        <w:t>CoV</w:t>
      </w:r>
      <w:proofErr w:type="spellEnd"/>
      <w:r w:rsidRPr="00270636">
        <w:rPr>
          <w:rFonts w:ascii="Times New Roman" w:eastAsia="Times New Roman" w:hAnsi="Times New Roman" w:cs="Times New Roman"/>
          <w:color w:val="000000"/>
          <w:sz w:val="27"/>
          <w:szCs w:val="27"/>
          <w:lang w:eastAsia="fr-FR"/>
        </w:rPr>
        <w:t xml:space="preserve">-2 </w:t>
      </w:r>
      <w:proofErr w:type="gramStart"/>
      <w:r w:rsidRPr="00270636">
        <w:rPr>
          <w:rFonts w:ascii="Times New Roman" w:eastAsia="Times New Roman" w:hAnsi="Times New Roman" w:cs="Times New Roman"/>
          <w:color w:val="000000"/>
          <w:sz w:val="27"/>
          <w:szCs w:val="27"/>
          <w:lang w:eastAsia="fr-FR"/>
        </w:rPr>
        <w:t>;</w:t>
      </w:r>
      <w:proofErr w:type="gramEnd"/>
      <w:r w:rsidRPr="00270636">
        <w:rPr>
          <w:rFonts w:ascii="Times New Roman" w:eastAsia="Times New Roman" w:hAnsi="Times New Roman" w:cs="Times New Roman"/>
          <w:color w:val="000000"/>
          <w:sz w:val="27"/>
          <w:szCs w:val="27"/>
          <w:lang w:eastAsia="fr-FR"/>
        </w:rPr>
        <w:br/>
        <w:t>« 2° Un justificatif du statut vaccinal délivré dans les conditions mentionnées au 2° de l'article 2-2 ;</w:t>
      </w:r>
      <w:r w:rsidRPr="00270636">
        <w:rPr>
          <w:rFonts w:ascii="Times New Roman" w:eastAsia="Times New Roman" w:hAnsi="Times New Roman" w:cs="Times New Roman"/>
          <w:color w:val="000000"/>
          <w:sz w:val="27"/>
          <w:szCs w:val="27"/>
          <w:lang w:eastAsia="fr-FR"/>
        </w:rPr>
        <w:br/>
        <w:t>« 3° Un certificat de rétablissement délivré dans les conditions mentionnées au 3° de l'article 2-2.</w:t>
      </w:r>
      <w:r w:rsidRPr="00270636">
        <w:rPr>
          <w:rFonts w:ascii="Times New Roman" w:eastAsia="Times New Roman" w:hAnsi="Times New Roman" w:cs="Times New Roman"/>
          <w:color w:val="000000"/>
          <w:sz w:val="27"/>
          <w:szCs w:val="27"/>
          <w:lang w:eastAsia="fr-FR"/>
        </w:rPr>
        <w:br/>
        <w:t>« La présentation de ces documents est contrôlée dans les conditions mentionnées à l'article 2-3</w:t>
      </w:r>
      <w:proofErr w:type="gramStart"/>
      <w:r w:rsidRPr="00270636">
        <w:rPr>
          <w:rFonts w:ascii="Times New Roman" w:eastAsia="Times New Roman" w:hAnsi="Times New Roman" w:cs="Times New Roman"/>
          <w:color w:val="000000"/>
          <w:sz w:val="27"/>
          <w:szCs w:val="27"/>
          <w:lang w:eastAsia="fr-FR"/>
        </w:rPr>
        <w:t>.</w:t>
      </w:r>
      <w:proofErr w:type="gramEnd"/>
      <w:r w:rsidRPr="00270636">
        <w:rPr>
          <w:rFonts w:ascii="Times New Roman" w:eastAsia="Times New Roman" w:hAnsi="Times New Roman" w:cs="Times New Roman"/>
          <w:color w:val="000000"/>
          <w:sz w:val="27"/>
          <w:szCs w:val="27"/>
          <w:lang w:eastAsia="fr-FR"/>
        </w:rPr>
        <w:br/>
        <w:t>« A défaut de présentation de l'un de ces documents, l'accès à l'établissement, au lieu, au service ou à l'évènement est refusé, sauf pour les personnes justifiant d'une contre-indication médicale à la vaccination dans les conditions prévues à l'article 2-4</w:t>
      </w:r>
      <w:proofErr w:type="gramStart"/>
      <w:r w:rsidRPr="00270636">
        <w:rPr>
          <w:rFonts w:ascii="Times New Roman" w:eastAsia="Times New Roman" w:hAnsi="Times New Roman" w:cs="Times New Roman"/>
          <w:color w:val="000000"/>
          <w:sz w:val="27"/>
          <w:szCs w:val="27"/>
          <w:lang w:eastAsia="fr-FR"/>
        </w:rPr>
        <w:t>.</w:t>
      </w:r>
      <w:proofErr w:type="gramEnd"/>
      <w:r w:rsidRPr="00270636">
        <w:rPr>
          <w:rFonts w:ascii="Times New Roman" w:eastAsia="Times New Roman" w:hAnsi="Times New Roman" w:cs="Times New Roman"/>
          <w:color w:val="000000"/>
          <w:sz w:val="27"/>
          <w:szCs w:val="27"/>
          <w:lang w:eastAsia="fr-FR"/>
        </w:rPr>
        <w:br/>
        <w:t xml:space="preserve">« II. - Les documents mentionnés au I doivent être présentés pour l'accès des participants, visiteurs, spectateurs, clients ou passagers aux établissements, </w:t>
      </w:r>
      <w:r w:rsidRPr="00270636">
        <w:rPr>
          <w:rFonts w:ascii="Times New Roman" w:eastAsia="Times New Roman" w:hAnsi="Times New Roman" w:cs="Times New Roman"/>
          <w:color w:val="000000"/>
          <w:sz w:val="27"/>
          <w:szCs w:val="27"/>
          <w:lang w:eastAsia="fr-FR"/>
        </w:rPr>
        <w:lastRenderedPageBreak/>
        <w:t>lieux, services et évènements suivants :</w:t>
      </w:r>
      <w:r w:rsidRPr="00270636">
        <w:rPr>
          <w:rFonts w:ascii="Times New Roman" w:eastAsia="Times New Roman" w:hAnsi="Times New Roman" w:cs="Times New Roman"/>
          <w:color w:val="000000"/>
          <w:sz w:val="27"/>
          <w:szCs w:val="27"/>
          <w:lang w:eastAsia="fr-FR"/>
        </w:rPr>
        <w:br/>
        <w:t>« 1° Les établissements relevant des catégories mentionnées par le règlement pris en application de l'article R. 143-12 du code de la construction et de l'habitation figurant ci-après, pour les activités culturelles, sportives, ludiques ou festives qu'ils accueillent :</w:t>
      </w:r>
      <w:r w:rsidRPr="00270636">
        <w:rPr>
          <w:rFonts w:ascii="Times New Roman" w:eastAsia="Times New Roman" w:hAnsi="Times New Roman" w:cs="Times New Roman"/>
          <w:color w:val="000000"/>
          <w:sz w:val="27"/>
          <w:szCs w:val="27"/>
          <w:lang w:eastAsia="fr-FR"/>
        </w:rPr>
        <w:br/>
        <w:t>« a) Les salles d'auditions, de conférences, de projection, de réunions, de spectacles ou à usages multiples, relevant du type L ;</w:t>
      </w:r>
      <w:r w:rsidRPr="00270636">
        <w:rPr>
          <w:rFonts w:ascii="Times New Roman" w:eastAsia="Times New Roman" w:hAnsi="Times New Roman" w:cs="Times New Roman"/>
          <w:color w:val="000000"/>
          <w:sz w:val="27"/>
          <w:szCs w:val="27"/>
          <w:lang w:eastAsia="fr-FR"/>
        </w:rPr>
        <w:br/>
        <w:t>« b) Les chapiteaux, tentes et structures, relevant du type CTS ;</w:t>
      </w:r>
      <w:r w:rsidRPr="00270636">
        <w:rPr>
          <w:rFonts w:ascii="Times New Roman" w:eastAsia="Times New Roman" w:hAnsi="Times New Roman" w:cs="Times New Roman"/>
          <w:color w:val="000000"/>
          <w:sz w:val="27"/>
          <w:szCs w:val="27"/>
          <w:lang w:eastAsia="fr-FR"/>
        </w:rPr>
        <w:br/>
        <w:t>« c) Les établissements mentionnés au 6° de l'article 35, relevant du type R, à l'exception :</w:t>
      </w:r>
    </w:p>
    <w:p w:rsidR="00270636" w:rsidRPr="00270636" w:rsidRDefault="00270636" w:rsidP="00270636">
      <w:pPr>
        <w:spacing w:before="100" w:beforeAutospacing="1" w:after="100" w:afterAutospacing="1"/>
        <w:ind w:left="450"/>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br/>
        <w:t>« - pour les établissements d'enseignement artistique mentionnés au chapitre Ier du titre VI du livre IV de la deuxième partie du code de l'éducation et les établissements d'enseignement de la danse mentionnés au chapitre II du titre VI du livre IV de la deuxième partie du code de l'éducation, des pratiquants professionnels et des personnes inscrites dans les formations délivrant un diplôme professionnalisant ;</w:t>
      </w:r>
      <w:r w:rsidRPr="00270636">
        <w:rPr>
          <w:rFonts w:ascii="Times New Roman" w:eastAsia="Times New Roman" w:hAnsi="Times New Roman" w:cs="Times New Roman"/>
          <w:color w:val="000000"/>
          <w:sz w:val="27"/>
          <w:szCs w:val="27"/>
          <w:lang w:eastAsia="fr-FR"/>
        </w:rPr>
        <w:br/>
        <w:t>« - des établissements mentionnés à l'article L. 216-2 du code de l'éducation pour l'accueil des élèves recevant un enseignement initial quel que soit le cycle ou inscrits dans une formation préparant à l'enseignement supérieur ;</w:t>
      </w:r>
    </w:p>
    <w:p w:rsidR="00270636" w:rsidRDefault="00270636" w:rsidP="00270636">
      <w:pPr>
        <w:spacing w:before="100" w:beforeAutospacing="1" w:after="100" w:afterAutospacing="1"/>
        <w:ind w:left="450"/>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br/>
        <w:t>« d) Les établissements d'enseignement supérieur mentionnés à l'article 34, relevant du type R, pour les activités qui ne se rattachent pas à un cursus de formation ou qui accueillent des spectateurs ou participants extérieurs ;</w:t>
      </w:r>
      <w:r w:rsidRPr="00270636">
        <w:rPr>
          <w:rFonts w:ascii="Times New Roman" w:eastAsia="Times New Roman" w:hAnsi="Times New Roman" w:cs="Times New Roman"/>
          <w:color w:val="000000"/>
          <w:sz w:val="27"/>
          <w:szCs w:val="27"/>
          <w:lang w:eastAsia="fr-FR"/>
        </w:rPr>
        <w:br/>
        <w:t>« e) Les salles de jeux et salles de danse, relevant du type P ;</w:t>
      </w:r>
      <w:r w:rsidRPr="00270636">
        <w:rPr>
          <w:rFonts w:ascii="Times New Roman" w:eastAsia="Times New Roman" w:hAnsi="Times New Roman" w:cs="Times New Roman"/>
          <w:color w:val="000000"/>
          <w:sz w:val="27"/>
          <w:szCs w:val="27"/>
          <w:lang w:eastAsia="fr-FR"/>
        </w:rPr>
        <w:br/>
        <w:t>« f) Les établissements à vocation commerciale destinés à des expositions, des foires-expositions ou des salons ayant un caractère temporaire, relevant du type T ;</w:t>
      </w:r>
      <w:r w:rsidRPr="00270636">
        <w:rPr>
          <w:rFonts w:ascii="Times New Roman" w:eastAsia="Times New Roman" w:hAnsi="Times New Roman" w:cs="Times New Roman"/>
          <w:color w:val="000000"/>
          <w:sz w:val="27"/>
          <w:szCs w:val="27"/>
          <w:lang w:eastAsia="fr-FR"/>
        </w:rPr>
        <w:br/>
        <w:t>« g) Les établissements de plein air, relevant du type PA, dont l'accès fait habituellement l'objet d'un contrôle ;</w:t>
      </w:r>
      <w:r w:rsidRPr="00270636">
        <w:rPr>
          <w:rFonts w:ascii="Times New Roman" w:eastAsia="Times New Roman" w:hAnsi="Times New Roman" w:cs="Times New Roman"/>
          <w:color w:val="000000"/>
          <w:sz w:val="27"/>
          <w:szCs w:val="27"/>
          <w:lang w:eastAsia="fr-FR"/>
        </w:rPr>
        <w:br/>
        <w:t>« h) Les établissements sportifs couverts, relevant du type X, dont l'accès fait habituellement l'objet d'un contrôle ;</w:t>
      </w:r>
      <w:r w:rsidRPr="00270636">
        <w:rPr>
          <w:rFonts w:ascii="Times New Roman" w:eastAsia="Times New Roman" w:hAnsi="Times New Roman" w:cs="Times New Roman"/>
          <w:color w:val="000000"/>
          <w:sz w:val="27"/>
          <w:szCs w:val="27"/>
          <w:lang w:eastAsia="fr-FR"/>
        </w:rPr>
        <w:br/>
        <w:t>« i) Les établissements de culte, relevant du type V, pour les événements mentionnés au V de l'article 47 ;</w:t>
      </w:r>
      <w:r w:rsidRPr="00270636">
        <w:rPr>
          <w:rFonts w:ascii="Times New Roman" w:eastAsia="Times New Roman" w:hAnsi="Times New Roman" w:cs="Times New Roman"/>
          <w:color w:val="000000"/>
          <w:sz w:val="27"/>
          <w:szCs w:val="27"/>
          <w:lang w:eastAsia="fr-FR"/>
        </w:rPr>
        <w:br/>
        <w:t>« j) Les musées et salles destinées à recevoir des expositions à vocation culturelle ayant un caractère temporaire, relevant du type Y, sauf pour les personnes accédant à ces établissements pour des motifs professionnels ou à des fins de recherche ;</w:t>
      </w:r>
      <w:r w:rsidRPr="00270636">
        <w:rPr>
          <w:rFonts w:ascii="Times New Roman" w:eastAsia="Times New Roman" w:hAnsi="Times New Roman" w:cs="Times New Roman"/>
          <w:color w:val="000000"/>
          <w:sz w:val="27"/>
          <w:szCs w:val="27"/>
          <w:lang w:eastAsia="fr-FR"/>
        </w:rPr>
        <w:br/>
        <w:t xml:space="preserve">« k) Les bibliothèques et centres de documentation relevant du type S, à l'exception, d'une part, des bibliothèques universitaires, des bibliothèques spécialisées et, sauf pour les expositions ou événements culturels qu'elles accueillent, de la Bibliothèque nationale de France et de la Bibliothèque publique d'information et, d'autre part, des personnes accédant à ces </w:t>
      </w:r>
      <w:r w:rsidRPr="00270636">
        <w:rPr>
          <w:rFonts w:ascii="Times New Roman" w:eastAsia="Times New Roman" w:hAnsi="Times New Roman" w:cs="Times New Roman"/>
          <w:color w:val="000000"/>
          <w:sz w:val="27"/>
          <w:szCs w:val="27"/>
          <w:lang w:eastAsia="fr-FR"/>
        </w:rPr>
        <w:lastRenderedPageBreak/>
        <w:t>établissements pour des motifs professionnels ou à des fins de recherche ;</w:t>
      </w:r>
      <w:r w:rsidRPr="00270636">
        <w:rPr>
          <w:rFonts w:ascii="Times New Roman" w:eastAsia="Times New Roman" w:hAnsi="Times New Roman" w:cs="Times New Roman"/>
          <w:color w:val="000000"/>
          <w:sz w:val="27"/>
          <w:szCs w:val="27"/>
          <w:lang w:eastAsia="fr-FR"/>
        </w:rPr>
        <w:br/>
      </w:r>
    </w:p>
    <w:p w:rsidR="00270636" w:rsidRDefault="00270636" w:rsidP="00270636">
      <w:pPr>
        <w:spacing w:before="100" w:beforeAutospacing="1" w:after="100" w:afterAutospacing="1"/>
        <w:ind w:left="450"/>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t>« 2° Les événements culturels, sportifs, ludiques ou festifs organisés dans l'espace public ou dans un lieu ouvert au public et susceptibles de donner lieu à un contrôle de l'accès des personnes ;</w:t>
      </w:r>
      <w:r w:rsidRPr="00270636">
        <w:rPr>
          <w:rFonts w:ascii="Times New Roman" w:eastAsia="Times New Roman" w:hAnsi="Times New Roman" w:cs="Times New Roman"/>
          <w:color w:val="000000"/>
          <w:sz w:val="27"/>
          <w:szCs w:val="27"/>
          <w:lang w:eastAsia="fr-FR"/>
        </w:rPr>
        <w:br/>
      </w:r>
    </w:p>
    <w:p w:rsidR="00270636" w:rsidRDefault="00270636" w:rsidP="00270636">
      <w:pPr>
        <w:spacing w:before="100" w:beforeAutospacing="1" w:after="100" w:afterAutospacing="1"/>
        <w:ind w:left="450"/>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t xml:space="preserve">« 3° Les navires et bateaux mentionnés au II de l'article 7 </w:t>
      </w:r>
      <w:proofErr w:type="gramStart"/>
      <w:r w:rsidRPr="00270636">
        <w:rPr>
          <w:rFonts w:ascii="Times New Roman" w:eastAsia="Times New Roman" w:hAnsi="Times New Roman" w:cs="Times New Roman"/>
          <w:color w:val="000000"/>
          <w:sz w:val="27"/>
          <w:szCs w:val="27"/>
          <w:lang w:eastAsia="fr-FR"/>
        </w:rPr>
        <w:t>;</w:t>
      </w:r>
      <w:proofErr w:type="gramEnd"/>
      <w:r w:rsidRPr="00270636">
        <w:rPr>
          <w:rFonts w:ascii="Times New Roman" w:eastAsia="Times New Roman" w:hAnsi="Times New Roman" w:cs="Times New Roman"/>
          <w:color w:val="000000"/>
          <w:sz w:val="27"/>
          <w:szCs w:val="27"/>
          <w:lang w:eastAsia="fr-FR"/>
        </w:rPr>
        <w:br/>
        <w:t>«</w:t>
      </w:r>
    </w:p>
    <w:p w:rsidR="00270636" w:rsidRDefault="00270636" w:rsidP="00270636">
      <w:pPr>
        <w:spacing w:before="100" w:beforeAutospacing="1" w:after="100" w:afterAutospacing="1"/>
        <w:ind w:left="450"/>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t xml:space="preserve"> 4° Les compétitions et manifestations sportives soumises à une procédure d'autorisation ou de déclaration et qui ne sont pas organisées au bénéfice des sportifs professionnels ou de haut niveau ;</w:t>
      </w:r>
      <w:r w:rsidRPr="00270636">
        <w:rPr>
          <w:rFonts w:ascii="Times New Roman" w:eastAsia="Times New Roman" w:hAnsi="Times New Roman" w:cs="Times New Roman"/>
          <w:color w:val="000000"/>
          <w:sz w:val="27"/>
          <w:szCs w:val="27"/>
          <w:lang w:eastAsia="fr-FR"/>
        </w:rPr>
        <w:br/>
      </w:r>
    </w:p>
    <w:p w:rsidR="00270636" w:rsidRDefault="00270636" w:rsidP="00270636">
      <w:pPr>
        <w:spacing w:before="100" w:beforeAutospacing="1" w:after="100" w:afterAutospacing="1"/>
        <w:ind w:left="450"/>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t>« 5° Les fêtes foraines comptant plus de trente stands ou attractions ;</w:t>
      </w:r>
      <w:r w:rsidRPr="00270636">
        <w:rPr>
          <w:rFonts w:ascii="Times New Roman" w:eastAsia="Times New Roman" w:hAnsi="Times New Roman" w:cs="Times New Roman"/>
          <w:color w:val="000000"/>
          <w:sz w:val="27"/>
          <w:szCs w:val="27"/>
          <w:lang w:eastAsia="fr-FR"/>
        </w:rPr>
        <w:br/>
      </w:r>
    </w:p>
    <w:p w:rsidR="00270636" w:rsidRDefault="00270636" w:rsidP="00270636">
      <w:pPr>
        <w:spacing w:before="100" w:beforeAutospacing="1" w:after="100" w:afterAutospacing="1"/>
        <w:ind w:left="450"/>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t>« 6° Les restaurants, débits de boissons, restaurants d'altitude et, pour leur activité de restauration et de débit de boissons, les établissements flottants et hôtels, relevant des types N, OA, EF et O mentionnés par le règlement pris en application de l'article R. 143-12 du code de la construction et de l'habitation, sauf pour :</w:t>
      </w:r>
      <w:r w:rsidRPr="00270636">
        <w:rPr>
          <w:rFonts w:ascii="Times New Roman" w:eastAsia="Times New Roman" w:hAnsi="Times New Roman" w:cs="Times New Roman"/>
          <w:color w:val="000000"/>
          <w:sz w:val="27"/>
          <w:szCs w:val="27"/>
          <w:lang w:eastAsia="fr-FR"/>
        </w:rPr>
        <w:br/>
        <w:t>« a) Le service d'étage des restaurants et bars d'hôtels ;</w:t>
      </w:r>
      <w:r w:rsidRPr="00270636">
        <w:rPr>
          <w:rFonts w:ascii="Times New Roman" w:eastAsia="Times New Roman" w:hAnsi="Times New Roman" w:cs="Times New Roman"/>
          <w:color w:val="000000"/>
          <w:sz w:val="27"/>
          <w:szCs w:val="27"/>
          <w:lang w:eastAsia="fr-FR"/>
        </w:rPr>
        <w:br/>
        <w:t>« b) La restauration collective en régie et sous contrat ;</w:t>
      </w:r>
      <w:r w:rsidRPr="00270636">
        <w:rPr>
          <w:rFonts w:ascii="Times New Roman" w:eastAsia="Times New Roman" w:hAnsi="Times New Roman" w:cs="Times New Roman"/>
          <w:color w:val="000000"/>
          <w:sz w:val="27"/>
          <w:szCs w:val="27"/>
          <w:lang w:eastAsia="fr-FR"/>
        </w:rPr>
        <w:br/>
        <w:t>« c) La restauration professionnelle ferroviaire ;</w:t>
      </w:r>
      <w:r w:rsidRPr="00270636">
        <w:rPr>
          <w:rFonts w:ascii="Times New Roman" w:eastAsia="Times New Roman" w:hAnsi="Times New Roman" w:cs="Times New Roman"/>
          <w:color w:val="000000"/>
          <w:sz w:val="27"/>
          <w:szCs w:val="27"/>
          <w:lang w:eastAsia="fr-FR"/>
        </w:rPr>
        <w:br/>
        <w:t>« d) La restauration professionnelle routière, sur la base d'une liste, arrêtée par le représentant de l'Etat dans le département, des établissements qui, eu égard à leur proximité des axes routiers, sont fréquentés de manière habituelle par les professionnels du transport ;</w:t>
      </w:r>
      <w:r w:rsidRPr="00270636">
        <w:rPr>
          <w:rFonts w:ascii="Times New Roman" w:eastAsia="Times New Roman" w:hAnsi="Times New Roman" w:cs="Times New Roman"/>
          <w:color w:val="000000"/>
          <w:sz w:val="27"/>
          <w:szCs w:val="27"/>
          <w:lang w:eastAsia="fr-FR"/>
        </w:rPr>
        <w:br/>
        <w:t>« e) La vente à emporter de plats préparés ;</w:t>
      </w:r>
      <w:r w:rsidRPr="00270636">
        <w:rPr>
          <w:rFonts w:ascii="Times New Roman" w:eastAsia="Times New Roman" w:hAnsi="Times New Roman" w:cs="Times New Roman"/>
          <w:color w:val="000000"/>
          <w:sz w:val="27"/>
          <w:szCs w:val="27"/>
          <w:lang w:eastAsia="fr-FR"/>
        </w:rPr>
        <w:br/>
        <w:t>« f) La restauration non commerciale, notamment la distribution gratuite de repas.</w:t>
      </w:r>
      <w:r w:rsidRPr="00270636">
        <w:rPr>
          <w:rFonts w:ascii="Times New Roman" w:eastAsia="Times New Roman" w:hAnsi="Times New Roman" w:cs="Times New Roman"/>
          <w:color w:val="000000"/>
          <w:sz w:val="27"/>
          <w:szCs w:val="27"/>
          <w:lang w:eastAsia="fr-FR"/>
        </w:rPr>
        <w:br/>
      </w:r>
    </w:p>
    <w:p w:rsidR="00270636" w:rsidRDefault="00270636" w:rsidP="00270636">
      <w:pPr>
        <w:spacing w:before="100" w:beforeAutospacing="1" w:after="100" w:afterAutospacing="1"/>
        <w:ind w:left="450"/>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t>« 7° Les magasins de vente et centres commerciaux, relevant du type M mentionné par le règlement pris en application de l'article R. 143-12 du code de la construction et de l'habitation, comportant un ou plusieurs bâtiments dont la surface commerciale utile cumulée calculée est supérieure ou égale à vingt mille mètres carrés, sur décision motivée du représentant de l'Etat dans le département, lorsque leurs caractéristiques et la gravité des risques de contamination le justifient et dans des conditions garantissant l'accès des personnes aux biens et services de première nécessité ainsi, le cas échéant, qu'aux moyens de transport.</w:t>
      </w:r>
      <w:r w:rsidRPr="00270636">
        <w:rPr>
          <w:rFonts w:ascii="Times New Roman" w:eastAsia="Times New Roman" w:hAnsi="Times New Roman" w:cs="Times New Roman"/>
          <w:color w:val="000000"/>
          <w:sz w:val="27"/>
          <w:szCs w:val="27"/>
          <w:lang w:eastAsia="fr-FR"/>
        </w:rPr>
        <w:br/>
      </w:r>
      <w:r w:rsidRPr="00270636">
        <w:rPr>
          <w:rFonts w:ascii="Times New Roman" w:eastAsia="Times New Roman" w:hAnsi="Times New Roman" w:cs="Times New Roman"/>
          <w:color w:val="000000"/>
          <w:sz w:val="27"/>
          <w:szCs w:val="27"/>
          <w:lang w:eastAsia="fr-FR"/>
        </w:rPr>
        <w:lastRenderedPageBreak/>
        <w:t xml:space="preserve">« La surface mentionnée au précédent alinéa est calculée dans les conditions suivantes </w:t>
      </w:r>
      <w:proofErr w:type="gramStart"/>
      <w:r w:rsidRPr="00270636">
        <w:rPr>
          <w:rFonts w:ascii="Times New Roman" w:eastAsia="Times New Roman" w:hAnsi="Times New Roman" w:cs="Times New Roman"/>
          <w:color w:val="000000"/>
          <w:sz w:val="27"/>
          <w:szCs w:val="27"/>
          <w:lang w:eastAsia="fr-FR"/>
        </w:rPr>
        <w:t>:</w:t>
      </w:r>
      <w:proofErr w:type="gramEnd"/>
      <w:r w:rsidRPr="00270636">
        <w:rPr>
          <w:rFonts w:ascii="Times New Roman" w:eastAsia="Times New Roman" w:hAnsi="Times New Roman" w:cs="Times New Roman"/>
          <w:color w:val="000000"/>
          <w:sz w:val="27"/>
          <w:szCs w:val="27"/>
          <w:lang w:eastAsia="fr-FR"/>
        </w:rPr>
        <w:br/>
        <w:t>« a) La surface commerciale utile est la surface totale comprenant les surfaces de vente, les bureaux et les réserves, sans déduction de trémie ou poteau et calculée entre les axes des murs mitoyens avec les parties privatives, et les nus extérieurs des murs mitoyens avec les parties communes. La surface est prise en compte indépendamment des interdictions d'accès au public ;</w:t>
      </w:r>
      <w:r w:rsidRPr="00270636">
        <w:rPr>
          <w:rFonts w:ascii="Times New Roman" w:eastAsia="Times New Roman" w:hAnsi="Times New Roman" w:cs="Times New Roman"/>
          <w:color w:val="000000"/>
          <w:sz w:val="27"/>
          <w:szCs w:val="27"/>
          <w:lang w:eastAsia="fr-FR"/>
        </w:rPr>
        <w:br/>
        <w:t>« b) Il faut entendre par magasin de vente ou centre commercial tout établissement comprenant un ou plusieurs ensembles de magasins de vente, y compris lorsqu'ils ont un accès direct indépendant, notamment par la voie publique, et éventuellement d'autres établissements recevant du public pouvant communiquer entre eux, qui sont, pour leurs accès et leur évacuation, tributaires de mails clos. L'ensemble des surfaces commerciales utiles sont additionnées pour déterminer l'atteinte du seuil de 20 000 m2, y compris en cas de fermeture, même provisoire, de mails clos reliant un ou plusieurs établissements ou bâtiments.</w:t>
      </w:r>
      <w:r w:rsidRPr="00270636">
        <w:rPr>
          <w:rFonts w:ascii="Times New Roman" w:eastAsia="Times New Roman" w:hAnsi="Times New Roman" w:cs="Times New Roman"/>
          <w:color w:val="000000"/>
          <w:sz w:val="27"/>
          <w:szCs w:val="27"/>
          <w:lang w:eastAsia="fr-FR"/>
        </w:rPr>
        <w:br/>
      </w:r>
    </w:p>
    <w:p w:rsidR="00270636" w:rsidRDefault="00270636" w:rsidP="00270636">
      <w:pPr>
        <w:spacing w:before="100" w:beforeAutospacing="1" w:after="100" w:afterAutospacing="1"/>
        <w:ind w:left="450"/>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t>« 8° Les foires et salons professionnels ainsi que, lorsqu'ils rassemblent plus de cinquante personnes, les séminaires professionnels organisés en dehors des établissements d'exercice de l'activité habituelle.</w:t>
      </w:r>
      <w:r w:rsidRPr="00270636">
        <w:rPr>
          <w:rFonts w:ascii="Times New Roman" w:eastAsia="Times New Roman" w:hAnsi="Times New Roman" w:cs="Times New Roman"/>
          <w:color w:val="000000"/>
          <w:sz w:val="27"/>
          <w:szCs w:val="27"/>
          <w:lang w:eastAsia="fr-FR"/>
        </w:rPr>
        <w:br/>
      </w:r>
    </w:p>
    <w:p w:rsidR="00270636" w:rsidRDefault="00270636" w:rsidP="00270636">
      <w:pPr>
        <w:spacing w:before="100" w:beforeAutospacing="1" w:after="100" w:afterAutospacing="1"/>
        <w:ind w:left="450"/>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t xml:space="preserve">« 9° Les services et établissements de santé, sociaux et médico-sociaux mentionnés au d du 2° du II de l'article 1er de la loi n° 2021-1040 du 5 août 2021 relative à la gestion de la crise sanitaire, ainsi que les établissements de santé des armées, pour l'accueil, sauf en situation d'urgence et sauf pour l'accès à un dépistage de la </w:t>
      </w:r>
      <w:proofErr w:type="spellStart"/>
      <w:r w:rsidRPr="00270636">
        <w:rPr>
          <w:rFonts w:ascii="Times New Roman" w:eastAsia="Times New Roman" w:hAnsi="Times New Roman" w:cs="Times New Roman"/>
          <w:color w:val="000000"/>
          <w:sz w:val="27"/>
          <w:szCs w:val="27"/>
          <w:lang w:eastAsia="fr-FR"/>
        </w:rPr>
        <w:t>covid</w:t>
      </w:r>
      <w:proofErr w:type="spellEnd"/>
      <w:r w:rsidRPr="00270636">
        <w:rPr>
          <w:rFonts w:ascii="Times New Roman" w:eastAsia="Times New Roman" w:hAnsi="Times New Roman" w:cs="Times New Roman"/>
          <w:color w:val="000000"/>
          <w:sz w:val="27"/>
          <w:szCs w:val="27"/>
          <w:lang w:eastAsia="fr-FR"/>
        </w:rPr>
        <w:t>-19, des personnes suivantes :</w:t>
      </w:r>
      <w:r w:rsidRPr="00270636">
        <w:rPr>
          <w:rFonts w:ascii="Times New Roman" w:eastAsia="Times New Roman" w:hAnsi="Times New Roman" w:cs="Times New Roman"/>
          <w:color w:val="000000"/>
          <w:sz w:val="27"/>
          <w:szCs w:val="27"/>
          <w:lang w:eastAsia="fr-FR"/>
        </w:rPr>
        <w:br/>
        <w:t>« a) Lors de leur admission, les personnes accueillies dans les établissements et services de santé pour des soins programmés, sauf décision contraire du chef de service ou, en son absence, d'un représentant de l'encadrement médical ou soignant, quand l'exigence des justificatifs mentionnés à l'article 2-2 du décret est de nature à empêcher l'accès aux soins du patient dans des délais utiles à sa bonne prise en charge ;</w:t>
      </w:r>
      <w:r w:rsidRPr="00270636">
        <w:rPr>
          <w:rFonts w:ascii="Times New Roman" w:eastAsia="Times New Roman" w:hAnsi="Times New Roman" w:cs="Times New Roman"/>
          <w:color w:val="000000"/>
          <w:sz w:val="27"/>
          <w:szCs w:val="27"/>
          <w:lang w:eastAsia="fr-FR"/>
        </w:rPr>
        <w:br/>
        <w:t xml:space="preserve">« b) Les personnes accompagnant celles accueillies dans ces services et établissements ou leur rendant visite à l'exclusion des personnes accompagnant ou rendant visite à des personnes accueillies dans des établissements et services </w:t>
      </w:r>
      <w:proofErr w:type="spellStart"/>
      <w:r w:rsidRPr="00270636">
        <w:rPr>
          <w:rFonts w:ascii="Times New Roman" w:eastAsia="Times New Roman" w:hAnsi="Times New Roman" w:cs="Times New Roman"/>
          <w:color w:val="000000"/>
          <w:sz w:val="27"/>
          <w:szCs w:val="27"/>
          <w:lang w:eastAsia="fr-FR"/>
        </w:rPr>
        <w:t>médico</w:t>
      </w:r>
      <w:proofErr w:type="spellEnd"/>
      <w:r w:rsidRPr="00270636">
        <w:rPr>
          <w:rFonts w:ascii="Times New Roman" w:eastAsia="Times New Roman" w:hAnsi="Times New Roman" w:cs="Times New Roman"/>
          <w:color w:val="000000"/>
          <w:sz w:val="27"/>
          <w:szCs w:val="27"/>
          <w:lang w:eastAsia="fr-FR"/>
        </w:rPr>
        <w:t xml:space="preserve"> sociaux pour enfants.</w:t>
      </w:r>
      <w:r w:rsidRPr="00270636">
        <w:rPr>
          <w:rFonts w:ascii="Times New Roman" w:eastAsia="Times New Roman" w:hAnsi="Times New Roman" w:cs="Times New Roman"/>
          <w:color w:val="000000"/>
          <w:sz w:val="27"/>
          <w:szCs w:val="27"/>
          <w:lang w:eastAsia="fr-FR"/>
        </w:rPr>
        <w:br/>
      </w:r>
    </w:p>
    <w:p w:rsidR="00270636" w:rsidRPr="00270636" w:rsidRDefault="00270636" w:rsidP="00270636">
      <w:pPr>
        <w:spacing w:before="100" w:beforeAutospacing="1" w:after="100" w:afterAutospacing="1"/>
        <w:ind w:left="450"/>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t>« 10° Les déplacements de longue distance par transports publics interrégionaux au sein de l'un des territoires mentionnés au 1° du A du II de l'article 1er de la loi n° 2021-689 du 31 mai 2021 relative à la gestion de la crise sanitaire relevant des catégories suivantes, sauf en cas d'urgence faisant obstacle à l'obtention du justificatif requis :</w:t>
      </w:r>
      <w:r w:rsidRPr="00270636">
        <w:rPr>
          <w:rFonts w:ascii="Times New Roman" w:eastAsia="Times New Roman" w:hAnsi="Times New Roman" w:cs="Times New Roman"/>
          <w:color w:val="000000"/>
          <w:sz w:val="27"/>
          <w:szCs w:val="27"/>
          <w:lang w:eastAsia="fr-FR"/>
        </w:rPr>
        <w:br/>
      </w:r>
      <w:r w:rsidRPr="00270636">
        <w:rPr>
          <w:rFonts w:ascii="Times New Roman" w:eastAsia="Times New Roman" w:hAnsi="Times New Roman" w:cs="Times New Roman"/>
          <w:color w:val="000000"/>
          <w:sz w:val="27"/>
          <w:szCs w:val="27"/>
          <w:lang w:eastAsia="fr-FR"/>
        </w:rPr>
        <w:lastRenderedPageBreak/>
        <w:t>« a) Les services de transport public aérien ;</w:t>
      </w:r>
      <w:r w:rsidRPr="00270636">
        <w:rPr>
          <w:rFonts w:ascii="Times New Roman" w:eastAsia="Times New Roman" w:hAnsi="Times New Roman" w:cs="Times New Roman"/>
          <w:color w:val="000000"/>
          <w:sz w:val="27"/>
          <w:szCs w:val="27"/>
          <w:lang w:eastAsia="fr-FR"/>
        </w:rPr>
        <w:br/>
        <w:t>« b) Les services nationaux de transport ferroviaire à réservation obligatoire ;</w:t>
      </w:r>
      <w:r w:rsidRPr="00270636">
        <w:rPr>
          <w:rFonts w:ascii="Times New Roman" w:eastAsia="Times New Roman" w:hAnsi="Times New Roman" w:cs="Times New Roman"/>
          <w:color w:val="000000"/>
          <w:sz w:val="27"/>
          <w:szCs w:val="27"/>
          <w:lang w:eastAsia="fr-FR"/>
        </w:rPr>
        <w:br/>
        <w:t>« c) Les services collectifs réguliers non conventionnés de transport routier.</w:t>
      </w:r>
      <w:r w:rsidRPr="00270636">
        <w:rPr>
          <w:rFonts w:ascii="Times New Roman" w:eastAsia="Times New Roman" w:hAnsi="Times New Roman" w:cs="Times New Roman"/>
          <w:color w:val="000000"/>
          <w:sz w:val="27"/>
          <w:szCs w:val="27"/>
          <w:lang w:eastAsia="fr-FR"/>
        </w:rPr>
        <w:br/>
        <w:t>« III. - Lorsque les dispositions du II sont applicables au-delà d'un seuil défini en nombre de personnes accueillies, ce seuil est déterminé en fonction du nombre de personnes dont l'accueil est prévu par l'exploitant de l'établissement ou du lieu ou par l'organisateur de l'événement ou du service, dans le respect des règles qui leur sont applicables et des limitations prévues par le présent décret.</w:t>
      </w:r>
      <w:r w:rsidRPr="00270636">
        <w:rPr>
          <w:rFonts w:ascii="Times New Roman" w:eastAsia="Times New Roman" w:hAnsi="Times New Roman" w:cs="Times New Roman"/>
          <w:color w:val="000000"/>
          <w:sz w:val="27"/>
          <w:szCs w:val="27"/>
          <w:lang w:eastAsia="fr-FR"/>
        </w:rPr>
        <w:br/>
        <w:t>« Lorsque des activités relevant des établissements et lieux mentionnés au II se déroulent hors de ceux-ci, les dispositions du présent article leur sont applicables comme si elles se déroulaient dans ces établissements et lieux, dans la limite des espaces et des heures concernés</w:t>
      </w:r>
      <w:proofErr w:type="gramStart"/>
      <w:r w:rsidRPr="00270636">
        <w:rPr>
          <w:rFonts w:ascii="Times New Roman" w:eastAsia="Times New Roman" w:hAnsi="Times New Roman" w:cs="Times New Roman"/>
          <w:color w:val="000000"/>
          <w:sz w:val="27"/>
          <w:szCs w:val="27"/>
          <w:lang w:eastAsia="fr-FR"/>
        </w:rPr>
        <w:t>.</w:t>
      </w:r>
      <w:proofErr w:type="gramEnd"/>
      <w:r w:rsidRPr="00270636">
        <w:rPr>
          <w:rFonts w:ascii="Times New Roman" w:eastAsia="Times New Roman" w:hAnsi="Times New Roman" w:cs="Times New Roman"/>
          <w:color w:val="000000"/>
          <w:sz w:val="27"/>
          <w:szCs w:val="27"/>
          <w:lang w:eastAsia="fr-FR"/>
        </w:rPr>
        <w:br/>
        <w:t>« IV. - Le présent article est applicable, à compter du 30 août 2021, aux salariés, agents publics, bénévoles et aux autres personnes qui interviennent dans les lieux, établissements, services ou évènements concernés, lorsque leur activité se déroule dans les espaces et aux heures où ils sont accessibles au public, à l'exception des activités de livraison et sauf intervention d'urgence.</w:t>
      </w:r>
      <w:r w:rsidRPr="00270636">
        <w:rPr>
          <w:rFonts w:ascii="Times New Roman" w:eastAsia="Times New Roman" w:hAnsi="Times New Roman" w:cs="Times New Roman"/>
          <w:color w:val="000000"/>
          <w:sz w:val="27"/>
          <w:szCs w:val="27"/>
          <w:lang w:eastAsia="fr-FR"/>
        </w:rPr>
        <w:br/>
        <w:t>« V. - Les obligations de port du masque prévues au présent décret ne sont pas applicables aux personnes ayant accédé aux établissements, lieux, services et événements dans les conditions prévues au présent article à l'exception de ceux relevant du 10° du II. Le port du masque peut toutefois être rendu obligatoire par le préfet de département lorsque les circonstances locales le justifient, ainsi que par l'exploitant ou l'organisateur</w:t>
      </w:r>
      <w:proofErr w:type="gramStart"/>
      <w:r w:rsidRPr="00270636">
        <w:rPr>
          <w:rFonts w:ascii="Times New Roman" w:eastAsia="Times New Roman" w:hAnsi="Times New Roman" w:cs="Times New Roman"/>
          <w:color w:val="000000"/>
          <w:sz w:val="27"/>
          <w:szCs w:val="27"/>
          <w:lang w:eastAsia="fr-FR"/>
        </w:rPr>
        <w:t>.</w:t>
      </w:r>
      <w:proofErr w:type="gramEnd"/>
      <w:r w:rsidRPr="00270636">
        <w:rPr>
          <w:rFonts w:ascii="Times New Roman" w:eastAsia="Times New Roman" w:hAnsi="Times New Roman" w:cs="Times New Roman"/>
          <w:color w:val="000000"/>
          <w:sz w:val="27"/>
          <w:szCs w:val="27"/>
          <w:lang w:eastAsia="fr-FR"/>
        </w:rPr>
        <w:br/>
        <w:t>« VI. - Dans les collectivités mentionnées à l'article 72-3 de la Constitution, le représentant de l'Etat est habilité à prendre des mesures d'adaptation des dispositions du présent article proportionnées à l'importance du risque de contamination en fonction des circonstances locales. » ;</w:t>
      </w:r>
    </w:p>
    <w:p w:rsidR="00270636" w:rsidRPr="00270636" w:rsidRDefault="00270636" w:rsidP="00270636">
      <w:pPr>
        <w:spacing w:before="100" w:beforeAutospacing="1" w:after="100" w:afterAutospacing="1"/>
        <w:ind w:left="450"/>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br/>
        <w:t>7° Après l'article 48, il est inséré un article 48-1 ainsi rédigé :</w:t>
      </w:r>
    </w:p>
    <w:p w:rsidR="00270636" w:rsidRPr="00270636" w:rsidRDefault="00270636" w:rsidP="00270636">
      <w:pPr>
        <w:spacing w:before="100" w:beforeAutospacing="1" w:after="100" w:afterAutospacing="1"/>
        <w:ind w:left="450"/>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br/>
        <w:t>« Art. 48-1. - Pour faire face à l'état d'urgence sanitaire en Martinique et en Guadeloupe, le préfet de la Martinique, le préfet de la Guadeloupe et les représentants de l'Etat dans les autres départements ainsi que dans les collectivités mentionnées à l'article 72-3 de la Constitution sont habilités à prendre les mesures visées à l'article 48. »</w:t>
      </w:r>
    </w:p>
    <w:p w:rsidR="00270636" w:rsidRPr="00270636" w:rsidRDefault="00270636" w:rsidP="00270636">
      <w:pPr>
        <w:spacing w:before="100" w:beforeAutospacing="1" w:after="100" w:afterAutospacing="1"/>
        <w:ind w:left="450"/>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br/>
        <w:t>8° Après le titre 5, il est inséré un titre 5 bis ainsi rédigé :</w:t>
      </w:r>
    </w:p>
    <w:p w:rsidR="00270636" w:rsidRDefault="00270636" w:rsidP="00270636">
      <w:pPr>
        <w:spacing w:before="100" w:beforeAutospacing="1" w:after="100" w:afterAutospacing="1"/>
        <w:ind w:left="450"/>
        <w:rPr>
          <w:rFonts w:ascii="Times New Roman" w:eastAsia="Times New Roman" w:hAnsi="Times New Roman" w:cs="Times New Roman"/>
          <w:color w:val="000000"/>
          <w:sz w:val="27"/>
          <w:szCs w:val="27"/>
          <w:lang w:eastAsia="fr-FR"/>
        </w:rPr>
      </w:pPr>
    </w:p>
    <w:p w:rsidR="00270636" w:rsidRPr="00270636" w:rsidRDefault="00270636" w:rsidP="00270636">
      <w:pPr>
        <w:spacing w:before="100" w:beforeAutospacing="1" w:after="100" w:afterAutospacing="1"/>
        <w:ind w:left="450"/>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lastRenderedPageBreak/>
        <w:br/>
        <w:t>« Titre 5 bis</w:t>
      </w:r>
      <w:r w:rsidRPr="00270636">
        <w:rPr>
          <w:rFonts w:ascii="Times New Roman" w:eastAsia="Times New Roman" w:hAnsi="Times New Roman" w:cs="Times New Roman"/>
          <w:color w:val="000000"/>
          <w:sz w:val="27"/>
          <w:szCs w:val="27"/>
          <w:lang w:eastAsia="fr-FR"/>
        </w:rPr>
        <w:br/>
        <w:t>« VACCINATION OBLIGATOIRE (articles 49-1 à 49-2)</w:t>
      </w:r>
    </w:p>
    <w:p w:rsidR="00270636" w:rsidRPr="00270636" w:rsidRDefault="00270636" w:rsidP="00270636">
      <w:pPr>
        <w:spacing w:before="100" w:beforeAutospacing="1" w:after="100" w:afterAutospacing="1"/>
        <w:ind w:left="450"/>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br/>
        <w:t>« Art. 49-1. - Hors les cas de contre-indication médicale à la vaccination mentionnés à l'article 2-4, les éléments mentionnés au second alinéa du II de l'article 12 de la loi n° 2021-1040 du 5 août 2021 susvisée sont :</w:t>
      </w:r>
      <w:r w:rsidRPr="00270636">
        <w:rPr>
          <w:rFonts w:ascii="Times New Roman" w:eastAsia="Times New Roman" w:hAnsi="Times New Roman" w:cs="Times New Roman"/>
          <w:color w:val="000000"/>
          <w:sz w:val="27"/>
          <w:szCs w:val="27"/>
          <w:lang w:eastAsia="fr-FR"/>
        </w:rPr>
        <w:br/>
        <w:t>« 1° Un justificatif du statut vaccinal délivré dans les conditions mentionnées au 2° de l'article 2-2 ;</w:t>
      </w:r>
      <w:r w:rsidRPr="00270636">
        <w:rPr>
          <w:rFonts w:ascii="Times New Roman" w:eastAsia="Times New Roman" w:hAnsi="Times New Roman" w:cs="Times New Roman"/>
          <w:color w:val="000000"/>
          <w:sz w:val="27"/>
          <w:szCs w:val="27"/>
          <w:lang w:eastAsia="fr-FR"/>
        </w:rPr>
        <w:br/>
        <w:t>« 2° Un certificat de rétablissement délivré dans les conditions mentionnées au 3° de l'article 2-2 ;</w:t>
      </w:r>
      <w:r w:rsidRPr="00270636">
        <w:rPr>
          <w:rFonts w:ascii="Times New Roman" w:eastAsia="Times New Roman" w:hAnsi="Times New Roman" w:cs="Times New Roman"/>
          <w:color w:val="000000"/>
          <w:sz w:val="27"/>
          <w:szCs w:val="27"/>
          <w:lang w:eastAsia="fr-FR"/>
        </w:rPr>
        <w:br/>
        <w:t>« 3° A compter de la date d'entrée en vigueur de la loi et jusqu'au 14 septembre 2021 inclus et à défaut de pouvoir présenter un des justificatifs mentionnés aux présents 1° ou 2°, le résultat d'un examen de dépistage, d'un test ou d'un autotest mentionné au 1° de l'article 2-2 d'au plus 72 heures. A compter 15 septembre 2021 et jusqu'au 15 octobre 2021 inclus, ce justificatif doit être accompagné d'un justificatif de l'administration d'au moins une des doses d'un des schémas vaccinaux mentionnés au 2° de l'article 2-2 comprenant plusieurs doses</w:t>
      </w:r>
      <w:proofErr w:type="gramStart"/>
      <w:r w:rsidRPr="00270636">
        <w:rPr>
          <w:rFonts w:ascii="Times New Roman" w:eastAsia="Times New Roman" w:hAnsi="Times New Roman" w:cs="Times New Roman"/>
          <w:color w:val="000000"/>
          <w:sz w:val="27"/>
          <w:szCs w:val="27"/>
          <w:lang w:eastAsia="fr-FR"/>
        </w:rPr>
        <w:t>.</w:t>
      </w:r>
      <w:proofErr w:type="gramEnd"/>
      <w:r w:rsidRPr="00270636">
        <w:rPr>
          <w:rFonts w:ascii="Times New Roman" w:eastAsia="Times New Roman" w:hAnsi="Times New Roman" w:cs="Times New Roman"/>
          <w:color w:val="000000"/>
          <w:sz w:val="27"/>
          <w:szCs w:val="27"/>
          <w:lang w:eastAsia="fr-FR"/>
        </w:rPr>
        <w:br/>
        <w:t>« Les seuls tests antigéniques pouvant être valablement présentés pour l'application du présent 3° sont ceux permettant la détection de la protéine N du SARS-</w:t>
      </w:r>
      <w:proofErr w:type="spellStart"/>
      <w:r w:rsidRPr="00270636">
        <w:rPr>
          <w:rFonts w:ascii="Times New Roman" w:eastAsia="Times New Roman" w:hAnsi="Times New Roman" w:cs="Times New Roman"/>
          <w:color w:val="000000"/>
          <w:sz w:val="27"/>
          <w:szCs w:val="27"/>
          <w:lang w:eastAsia="fr-FR"/>
        </w:rPr>
        <w:t>CoV</w:t>
      </w:r>
      <w:proofErr w:type="spellEnd"/>
      <w:r w:rsidRPr="00270636">
        <w:rPr>
          <w:rFonts w:ascii="Times New Roman" w:eastAsia="Times New Roman" w:hAnsi="Times New Roman" w:cs="Times New Roman"/>
          <w:color w:val="000000"/>
          <w:sz w:val="27"/>
          <w:szCs w:val="27"/>
          <w:lang w:eastAsia="fr-FR"/>
        </w:rPr>
        <w:t>-2</w:t>
      </w:r>
      <w:proofErr w:type="gramStart"/>
      <w:r w:rsidRPr="00270636">
        <w:rPr>
          <w:rFonts w:ascii="Times New Roman" w:eastAsia="Times New Roman" w:hAnsi="Times New Roman" w:cs="Times New Roman"/>
          <w:color w:val="000000"/>
          <w:sz w:val="27"/>
          <w:szCs w:val="27"/>
          <w:lang w:eastAsia="fr-FR"/>
        </w:rPr>
        <w:t>.</w:t>
      </w:r>
      <w:proofErr w:type="gramEnd"/>
      <w:r w:rsidRPr="00270636">
        <w:rPr>
          <w:rFonts w:ascii="Times New Roman" w:eastAsia="Times New Roman" w:hAnsi="Times New Roman" w:cs="Times New Roman"/>
          <w:color w:val="000000"/>
          <w:sz w:val="27"/>
          <w:szCs w:val="27"/>
          <w:lang w:eastAsia="fr-FR"/>
        </w:rPr>
        <w:br/>
        <w:t>« La présentation de ces documents est contrôlée dans les conditions mentionnées à l'article 2-3.</w:t>
      </w:r>
    </w:p>
    <w:p w:rsidR="00270636" w:rsidRPr="00270636" w:rsidRDefault="00270636" w:rsidP="00270636">
      <w:pPr>
        <w:spacing w:before="100" w:beforeAutospacing="1" w:after="100" w:afterAutospacing="1"/>
        <w:ind w:left="450"/>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br/>
        <w:t>« Art. 49-2. - Les locaux mentionnés au 4° du I de l'article 12 de la loi n° 2021-1040 du 5 août 2021 susvisée sont les espaces dédiés à titre principal à l'exercice de l'activité des professionnels mentionnés au 2° et des personnes mentionnées au 3° du même I ainsi que ceux où sont assurées, en leur présence régulière, les activités accessoires, notamment administratives, qui en sont indissociables. » ;</w:t>
      </w:r>
    </w:p>
    <w:p w:rsidR="00270636" w:rsidRPr="00270636" w:rsidRDefault="00270636" w:rsidP="00270636">
      <w:pPr>
        <w:spacing w:before="100" w:beforeAutospacing="1" w:after="100" w:afterAutospacing="1"/>
        <w:ind w:left="450"/>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br/>
        <w:t xml:space="preserve">9° Aux articles 4-2, 27, 31, 37, 39, 40, 42, 45, 47 et 48, la référence : « R. 123-12 » est remplacée par la référence : « R. 143-12 » </w:t>
      </w:r>
      <w:proofErr w:type="gramStart"/>
      <w:r w:rsidRPr="00270636">
        <w:rPr>
          <w:rFonts w:ascii="Times New Roman" w:eastAsia="Times New Roman" w:hAnsi="Times New Roman" w:cs="Times New Roman"/>
          <w:color w:val="000000"/>
          <w:sz w:val="27"/>
          <w:szCs w:val="27"/>
          <w:lang w:eastAsia="fr-FR"/>
        </w:rPr>
        <w:t>;</w:t>
      </w:r>
      <w:proofErr w:type="gramEnd"/>
      <w:r w:rsidRPr="00270636">
        <w:rPr>
          <w:rFonts w:ascii="Times New Roman" w:eastAsia="Times New Roman" w:hAnsi="Times New Roman" w:cs="Times New Roman"/>
          <w:color w:val="000000"/>
          <w:sz w:val="27"/>
          <w:szCs w:val="27"/>
          <w:lang w:eastAsia="fr-FR"/>
        </w:rPr>
        <w:br/>
        <w:t>10° Après l'annexe 1, il est inséré une annexe 2 ainsi rédigée :</w:t>
      </w:r>
    </w:p>
    <w:p w:rsidR="00270636" w:rsidRPr="00270636" w:rsidRDefault="00270636" w:rsidP="00270636">
      <w:pPr>
        <w:spacing w:before="100" w:beforeAutospacing="1" w:after="100" w:afterAutospacing="1"/>
        <w:ind w:left="450"/>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br/>
        <w:t>« ANNEXE 2</w:t>
      </w:r>
    </w:p>
    <w:p w:rsidR="00270636" w:rsidRPr="00270636" w:rsidRDefault="00270636" w:rsidP="00270636">
      <w:pPr>
        <w:spacing w:before="100" w:beforeAutospacing="1" w:after="100" w:afterAutospacing="1"/>
        <w:ind w:left="450"/>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br/>
        <w:t xml:space="preserve">« I. - Les cas de contre-indication médicale faisant obstacle à la vaccination contre la </w:t>
      </w:r>
      <w:proofErr w:type="spellStart"/>
      <w:r w:rsidRPr="00270636">
        <w:rPr>
          <w:rFonts w:ascii="Times New Roman" w:eastAsia="Times New Roman" w:hAnsi="Times New Roman" w:cs="Times New Roman"/>
          <w:color w:val="000000"/>
          <w:sz w:val="27"/>
          <w:szCs w:val="27"/>
          <w:lang w:eastAsia="fr-FR"/>
        </w:rPr>
        <w:t>covid</w:t>
      </w:r>
      <w:proofErr w:type="spellEnd"/>
      <w:r w:rsidRPr="00270636">
        <w:rPr>
          <w:rFonts w:ascii="Times New Roman" w:eastAsia="Times New Roman" w:hAnsi="Times New Roman" w:cs="Times New Roman"/>
          <w:color w:val="000000"/>
          <w:sz w:val="27"/>
          <w:szCs w:val="27"/>
          <w:lang w:eastAsia="fr-FR"/>
        </w:rPr>
        <w:t xml:space="preserve">-19 mentionnés à l'article 2-4 sont </w:t>
      </w:r>
      <w:proofErr w:type="gramStart"/>
      <w:r w:rsidRPr="00270636">
        <w:rPr>
          <w:rFonts w:ascii="Times New Roman" w:eastAsia="Times New Roman" w:hAnsi="Times New Roman" w:cs="Times New Roman"/>
          <w:color w:val="000000"/>
          <w:sz w:val="27"/>
          <w:szCs w:val="27"/>
          <w:lang w:eastAsia="fr-FR"/>
        </w:rPr>
        <w:t>:</w:t>
      </w:r>
      <w:proofErr w:type="gramEnd"/>
      <w:r w:rsidRPr="00270636">
        <w:rPr>
          <w:rFonts w:ascii="Times New Roman" w:eastAsia="Times New Roman" w:hAnsi="Times New Roman" w:cs="Times New Roman"/>
          <w:color w:val="000000"/>
          <w:sz w:val="27"/>
          <w:szCs w:val="27"/>
          <w:lang w:eastAsia="fr-FR"/>
        </w:rPr>
        <w:br/>
      </w:r>
      <w:r w:rsidRPr="00270636">
        <w:rPr>
          <w:rFonts w:ascii="Times New Roman" w:eastAsia="Times New Roman" w:hAnsi="Times New Roman" w:cs="Times New Roman"/>
          <w:color w:val="000000"/>
          <w:sz w:val="27"/>
          <w:szCs w:val="27"/>
          <w:lang w:eastAsia="fr-FR"/>
        </w:rPr>
        <w:lastRenderedPageBreak/>
        <w:t>« 1° Les contre-indications inscrites dans le résumé des caractéristiques du produit (RCP) :</w:t>
      </w:r>
    </w:p>
    <w:p w:rsidR="00270636" w:rsidRPr="00270636" w:rsidRDefault="00270636" w:rsidP="00270636">
      <w:pPr>
        <w:spacing w:before="100" w:beforeAutospacing="1" w:after="100" w:afterAutospacing="1"/>
        <w:ind w:left="450"/>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br/>
        <w:t xml:space="preserve">« - antécédent d'allergie documentée (avis allergologue) à un des composants du vaccin en particulier polyéthylène-glycols et par risque d'allergie croisée aux </w:t>
      </w:r>
      <w:proofErr w:type="spellStart"/>
      <w:r w:rsidRPr="00270636">
        <w:rPr>
          <w:rFonts w:ascii="Times New Roman" w:eastAsia="Times New Roman" w:hAnsi="Times New Roman" w:cs="Times New Roman"/>
          <w:color w:val="000000"/>
          <w:sz w:val="27"/>
          <w:szCs w:val="27"/>
          <w:lang w:eastAsia="fr-FR"/>
        </w:rPr>
        <w:t>polysorbates</w:t>
      </w:r>
      <w:proofErr w:type="spellEnd"/>
      <w:r w:rsidRPr="00270636">
        <w:rPr>
          <w:rFonts w:ascii="Times New Roman" w:eastAsia="Times New Roman" w:hAnsi="Times New Roman" w:cs="Times New Roman"/>
          <w:color w:val="000000"/>
          <w:sz w:val="27"/>
          <w:szCs w:val="27"/>
          <w:lang w:eastAsia="fr-FR"/>
        </w:rPr>
        <w:t xml:space="preserve"> ;</w:t>
      </w:r>
      <w:r w:rsidRPr="00270636">
        <w:rPr>
          <w:rFonts w:ascii="Times New Roman" w:eastAsia="Times New Roman" w:hAnsi="Times New Roman" w:cs="Times New Roman"/>
          <w:color w:val="000000"/>
          <w:sz w:val="27"/>
          <w:szCs w:val="27"/>
          <w:lang w:eastAsia="fr-FR"/>
        </w:rPr>
        <w:br/>
        <w:t xml:space="preserve">« - réaction </w:t>
      </w:r>
      <w:proofErr w:type="spellStart"/>
      <w:r w:rsidRPr="00270636">
        <w:rPr>
          <w:rFonts w:ascii="Times New Roman" w:eastAsia="Times New Roman" w:hAnsi="Times New Roman" w:cs="Times New Roman"/>
          <w:color w:val="000000"/>
          <w:sz w:val="27"/>
          <w:szCs w:val="27"/>
          <w:lang w:eastAsia="fr-FR"/>
        </w:rPr>
        <w:t>anaphylaxique</w:t>
      </w:r>
      <w:proofErr w:type="spellEnd"/>
      <w:r w:rsidRPr="00270636">
        <w:rPr>
          <w:rFonts w:ascii="Times New Roman" w:eastAsia="Times New Roman" w:hAnsi="Times New Roman" w:cs="Times New Roman"/>
          <w:color w:val="000000"/>
          <w:sz w:val="27"/>
          <w:szCs w:val="27"/>
          <w:lang w:eastAsia="fr-FR"/>
        </w:rPr>
        <w:t xml:space="preserve"> au moins de grade 2 (atteinte au moins de 2 organes) à une première injection d'un vaccin contre le COVID posée après expertise </w:t>
      </w:r>
      <w:proofErr w:type="spellStart"/>
      <w:r w:rsidRPr="00270636">
        <w:rPr>
          <w:rFonts w:ascii="Times New Roman" w:eastAsia="Times New Roman" w:hAnsi="Times New Roman" w:cs="Times New Roman"/>
          <w:color w:val="000000"/>
          <w:sz w:val="27"/>
          <w:szCs w:val="27"/>
          <w:lang w:eastAsia="fr-FR"/>
        </w:rPr>
        <w:t>allergologique</w:t>
      </w:r>
      <w:proofErr w:type="spellEnd"/>
      <w:r w:rsidRPr="00270636">
        <w:rPr>
          <w:rFonts w:ascii="Times New Roman" w:eastAsia="Times New Roman" w:hAnsi="Times New Roman" w:cs="Times New Roman"/>
          <w:color w:val="000000"/>
          <w:sz w:val="27"/>
          <w:szCs w:val="27"/>
          <w:lang w:eastAsia="fr-FR"/>
        </w:rPr>
        <w:t xml:space="preserve"> ;</w:t>
      </w:r>
      <w:r w:rsidRPr="00270636">
        <w:rPr>
          <w:rFonts w:ascii="Times New Roman" w:eastAsia="Times New Roman" w:hAnsi="Times New Roman" w:cs="Times New Roman"/>
          <w:color w:val="000000"/>
          <w:sz w:val="27"/>
          <w:szCs w:val="27"/>
          <w:lang w:eastAsia="fr-FR"/>
        </w:rPr>
        <w:br/>
        <w:t xml:space="preserve">« - personnes ayant déjà présenté des épisodes de syndrome de fuite capillaire (contre-indication commune au vaccin </w:t>
      </w:r>
      <w:proofErr w:type="spellStart"/>
      <w:r w:rsidRPr="00270636">
        <w:rPr>
          <w:rFonts w:ascii="Times New Roman" w:eastAsia="Times New Roman" w:hAnsi="Times New Roman" w:cs="Times New Roman"/>
          <w:color w:val="000000"/>
          <w:sz w:val="27"/>
          <w:szCs w:val="27"/>
          <w:lang w:eastAsia="fr-FR"/>
        </w:rPr>
        <w:t>Vaxzevria</w:t>
      </w:r>
      <w:proofErr w:type="spellEnd"/>
      <w:r w:rsidRPr="00270636">
        <w:rPr>
          <w:rFonts w:ascii="Times New Roman" w:eastAsia="Times New Roman" w:hAnsi="Times New Roman" w:cs="Times New Roman"/>
          <w:color w:val="000000"/>
          <w:sz w:val="27"/>
          <w:szCs w:val="27"/>
          <w:lang w:eastAsia="fr-FR"/>
        </w:rPr>
        <w:t xml:space="preserve"> et au vaccin Janssen).</w:t>
      </w:r>
    </w:p>
    <w:p w:rsidR="00270636" w:rsidRPr="00270636" w:rsidRDefault="00270636" w:rsidP="00270636">
      <w:pPr>
        <w:spacing w:before="100" w:beforeAutospacing="1" w:after="100" w:afterAutospacing="1"/>
        <w:ind w:left="450"/>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br/>
        <w:t>« 2° Une recommandation médicale de ne pas initier une vaccination (première dose) :</w:t>
      </w:r>
    </w:p>
    <w:p w:rsidR="00270636" w:rsidRPr="00270636" w:rsidRDefault="00270636" w:rsidP="00270636">
      <w:pPr>
        <w:spacing w:before="100" w:beforeAutospacing="1" w:after="100" w:afterAutospacing="1"/>
        <w:ind w:left="450"/>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br/>
        <w:t>« - syndrome inflammatoire multi systémique pédiatrique (PIMS) post-</w:t>
      </w:r>
      <w:proofErr w:type="spellStart"/>
      <w:r w:rsidRPr="00270636">
        <w:rPr>
          <w:rFonts w:ascii="Times New Roman" w:eastAsia="Times New Roman" w:hAnsi="Times New Roman" w:cs="Times New Roman"/>
          <w:color w:val="000000"/>
          <w:sz w:val="27"/>
          <w:szCs w:val="27"/>
          <w:lang w:eastAsia="fr-FR"/>
        </w:rPr>
        <w:t>covid</w:t>
      </w:r>
      <w:proofErr w:type="spellEnd"/>
      <w:r w:rsidRPr="00270636">
        <w:rPr>
          <w:rFonts w:ascii="Times New Roman" w:eastAsia="Times New Roman" w:hAnsi="Times New Roman" w:cs="Times New Roman"/>
          <w:color w:val="000000"/>
          <w:sz w:val="27"/>
          <w:szCs w:val="27"/>
          <w:lang w:eastAsia="fr-FR"/>
        </w:rPr>
        <w:t>-19.</w:t>
      </w:r>
    </w:p>
    <w:p w:rsidR="00270636" w:rsidRPr="00270636" w:rsidRDefault="00270636" w:rsidP="00270636">
      <w:pPr>
        <w:spacing w:before="100" w:beforeAutospacing="1" w:after="100" w:afterAutospacing="1"/>
        <w:ind w:left="450"/>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br/>
        <w:t>« 3° Une recommandation établie après concertation médicale pluridisciplinaire de ne pas effectuer la seconde dose de vaccin suite à la survenue d'un effet indésirable d'intensité sévère ou grave attribué à la première dose de vaccin signalé au système de pharmacovigilance (par exemple : la survenue de myocardite, de syndrome de Guillain-Barré…).</w:t>
      </w:r>
      <w:r w:rsidRPr="00270636">
        <w:rPr>
          <w:rFonts w:ascii="Times New Roman" w:eastAsia="Times New Roman" w:hAnsi="Times New Roman" w:cs="Times New Roman"/>
          <w:color w:val="000000"/>
          <w:sz w:val="27"/>
          <w:szCs w:val="27"/>
          <w:lang w:eastAsia="fr-FR"/>
        </w:rPr>
        <w:br/>
        <w:t xml:space="preserve">« II. - Les cas de contre-indication médicale temporaire faisant obstacle à la vaccination contre la </w:t>
      </w:r>
      <w:proofErr w:type="spellStart"/>
      <w:r w:rsidRPr="00270636">
        <w:rPr>
          <w:rFonts w:ascii="Times New Roman" w:eastAsia="Times New Roman" w:hAnsi="Times New Roman" w:cs="Times New Roman"/>
          <w:color w:val="000000"/>
          <w:sz w:val="27"/>
          <w:szCs w:val="27"/>
          <w:lang w:eastAsia="fr-FR"/>
        </w:rPr>
        <w:t>covid</w:t>
      </w:r>
      <w:proofErr w:type="spellEnd"/>
      <w:r w:rsidRPr="00270636">
        <w:rPr>
          <w:rFonts w:ascii="Times New Roman" w:eastAsia="Times New Roman" w:hAnsi="Times New Roman" w:cs="Times New Roman"/>
          <w:color w:val="000000"/>
          <w:sz w:val="27"/>
          <w:szCs w:val="27"/>
          <w:lang w:eastAsia="fr-FR"/>
        </w:rPr>
        <w:t xml:space="preserve">-19 mentionnés à l'article 2-4 sont </w:t>
      </w:r>
      <w:proofErr w:type="gramStart"/>
      <w:r w:rsidRPr="00270636">
        <w:rPr>
          <w:rFonts w:ascii="Times New Roman" w:eastAsia="Times New Roman" w:hAnsi="Times New Roman" w:cs="Times New Roman"/>
          <w:color w:val="000000"/>
          <w:sz w:val="27"/>
          <w:szCs w:val="27"/>
          <w:lang w:eastAsia="fr-FR"/>
        </w:rPr>
        <w:t>:</w:t>
      </w:r>
      <w:proofErr w:type="gramEnd"/>
      <w:r w:rsidRPr="00270636">
        <w:rPr>
          <w:rFonts w:ascii="Times New Roman" w:eastAsia="Times New Roman" w:hAnsi="Times New Roman" w:cs="Times New Roman"/>
          <w:color w:val="000000"/>
          <w:sz w:val="27"/>
          <w:szCs w:val="27"/>
          <w:lang w:eastAsia="fr-FR"/>
        </w:rPr>
        <w:br/>
        <w:t>« 1° Traitement par anticorps monoclonaux anti-SARS-</w:t>
      </w:r>
      <w:proofErr w:type="spellStart"/>
      <w:r w:rsidRPr="00270636">
        <w:rPr>
          <w:rFonts w:ascii="Times New Roman" w:eastAsia="Times New Roman" w:hAnsi="Times New Roman" w:cs="Times New Roman"/>
          <w:color w:val="000000"/>
          <w:sz w:val="27"/>
          <w:szCs w:val="27"/>
          <w:lang w:eastAsia="fr-FR"/>
        </w:rPr>
        <w:t>CoV</w:t>
      </w:r>
      <w:proofErr w:type="spellEnd"/>
      <w:r w:rsidRPr="00270636">
        <w:rPr>
          <w:rFonts w:ascii="Times New Roman" w:eastAsia="Times New Roman" w:hAnsi="Times New Roman" w:cs="Times New Roman"/>
          <w:color w:val="000000"/>
          <w:sz w:val="27"/>
          <w:szCs w:val="27"/>
          <w:lang w:eastAsia="fr-FR"/>
        </w:rPr>
        <w:t>-2.</w:t>
      </w:r>
      <w:r w:rsidRPr="00270636">
        <w:rPr>
          <w:rFonts w:ascii="Times New Roman" w:eastAsia="Times New Roman" w:hAnsi="Times New Roman" w:cs="Times New Roman"/>
          <w:color w:val="000000"/>
          <w:sz w:val="27"/>
          <w:szCs w:val="27"/>
          <w:lang w:eastAsia="fr-FR"/>
        </w:rPr>
        <w:br/>
        <w:t>« 2° Myocardites ou péricardites survenues antérieurement à la vaccination et toujours évolutives. ».</w:t>
      </w:r>
    </w:p>
    <w:p w:rsidR="00270636" w:rsidRPr="00270636" w:rsidRDefault="00270636" w:rsidP="00270636">
      <w:pPr>
        <w:spacing w:before="100" w:beforeAutospacing="1" w:after="100" w:afterAutospacing="1"/>
        <w:ind w:left="450"/>
        <w:outlineLvl w:val="3"/>
        <w:rPr>
          <w:rFonts w:ascii="Times New Roman" w:eastAsia="Times New Roman" w:hAnsi="Times New Roman" w:cs="Times New Roman"/>
          <w:b/>
          <w:bCs/>
          <w:color w:val="000000"/>
          <w:sz w:val="27"/>
          <w:szCs w:val="27"/>
          <w:lang w:eastAsia="fr-FR"/>
        </w:rPr>
      </w:pPr>
      <w:r w:rsidRPr="00270636">
        <w:rPr>
          <w:rFonts w:ascii="Times New Roman" w:eastAsia="Times New Roman" w:hAnsi="Times New Roman" w:cs="Times New Roman"/>
          <w:b/>
          <w:bCs/>
          <w:color w:val="000000"/>
          <w:sz w:val="27"/>
          <w:szCs w:val="27"/>
          <w:lang w:eastAsia="fr-FR"/>
        </w:rPr>
        <w:t>Article 2</w:t>
      </w:r>
    </w:p>
    <w:p w:rsidR="00270636" w:rsidRPr="00270636" w:rsidRDefault="00270636" w:rsidP="00270636">
      <w:pPr>
        <w:spacing w:before="100" w:beforeAutospacing="1" w:after="100" w:afterAutospacing="1"/>
        <w:ind w:left="450"/>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br/>
        <w:t>Les dispositions du présent décret sont applicables aux collectivités de l'article 74 de la Constitution et à la Nouvelle-Calédonie dans les mêmes conditions que les dispositions du décret du 1er juin 2021 susvisé qu'elles modifient.</w:t>
      </w:r>
    </w:p>
    <w:p w:rsidR="00270636" w:rsidRPr="00270636" w:rsidRDefault="00270636" w:rsidP="00270636">
      <w:pPr>
        <w:spacing w:before="100" w:beforeAutospacing="1" w:after="100" w:afterAutospacing="1"/>
        <w:ind w:left="450"/>
        <w:outlineLvl w:val="3"/>
        <w:rPr>
          <w:rFonts w:ascii="Times New Roman" w:eastAsia="Times New Roman" w:hAnsi="Times New Roman" w:cs="Times New Roman"/>
          <w:b/>
          <w:bCs/>
          <w:color w:val="000000"/>
          <w:sz w:val="27"/>
          <w:szCs w:val="27"/>
          <w:lang w:eastAsia="fr-FR"/>
        </w:rPr>
      </w:pPr>
      <w:r w:rsidRPr="00270636">
        <w:rPr>
          <w:rFonts w:ascii="Times New Roman" w:eastAsia="Times New Roman" w:hAnsi="Times New Roman" w:cs="Times New Roman"/>
          <w:b/>
          <w:bCs/>
          <w:color w:val="000000"/>
          <w:sz w:val="27"/>
          <w:szCs w:val="27"/>
          <w:lang w:eastAsia="fr-FR"/>
        </w:rPr>
        <w:t>Article 3</w:t>
      </w:r>
    </w:p>
    <w:p w:rsidR="00270636" w:rsidRPr="00270636" w:rsidRDefault="00270636" w:rsidP="00270636">
      <w:pPr>
        <w:spacing w:before="100" w:beforeAutospacing="1" w:after="100" w:afterAutospacing="1"/>
        <w:ind w:left="450"/>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br/>
        <w:t xml:space="preserve">Le ministre de l'économie, des finances et de la relance, le ministre de l'intérieur, le ministre des outre-mer et le ministre des solidarités et de la santé </w:t>
      </w:r>
      <w:r w:rsidRPr="00270636">
        <w:rPr>
          <w:rFonts w:ascii="Times New Roman" w:eastAsia="Times New Roman" w:hAnsi="Times New Roman" w:cs="Times New Roman"/>
          <w:color w:val="000000"/>
          <w:sz w:val="27"/>
          <w:szCs w:val="27"/>
          <w:lang w:eastAsia="fr-FR"/>
        </w:rPr>
        <w:lastRenderedPageBreak/>
        <w:t>sont chargés, chacun en ce qui le concerne, de l'exécution du présent décret, qui sera publié au Journal officiel de la République française.</w:t>
      </w:r>
    </w:p>
    <w:p w:rsidR="00270636" w:rsidRPr="00270636" w:rsidRDefault="00270636" w:rsidP="00270636">
      <w:pPr>
        <w:spacing w:before="100" w:beforeAutospacing="1" w:after="100" w:afterAutospacing="1"/>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br/>
        <w:t>Fait le 7 août 2021.</w:t>
      </w:r>
    </w:p>
    <w:p w:rsidR="00270636" w:rsidRPr="00270636" w:rsidRDefault="00270636" w:rsidP="00270636">
      <w:pPr>
        <w:spacing w:before="100" w:beforeAutospacing="1" w:after="100" w:afterAutospacing="1"/>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br/>
        <w:t>Jean Castex</w:t>
      </w:r>
      <w:r w:rsidRPr="00270636">
        <w:rPr>
          <w:rFonts w:ascii="Times New Roman" w:eastAsia="Times New Roman" w:hAnsi="Times New Roman" w:cs="Times New Roman"/>
          <w:color w:val="000000"/>
          <w:sz w:val="27"/>
          <w:szCs w:val="27"/>
          <w:lang w:eastAsia="fr-FR"/>
        </w:rPr>
        <w:br/>
        <w:t>Par le Premier ministre :</w:t>
      </w:r>
    </w:p>
    <w:p w:rsidR="00270636" w:rsidRPr="00270636" w:rsidRDefault="00270636" w:rsidP="00270636">
      <w:pPr>
        <w:spacing w:before="100" w:beforeAutospacing="1" w:after="100" w:afterAutospacing="1"/>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br/>
        <w:t>Le ministre des solidarités et de la santé</w:t>
      </w:r>
      <w:proofErr w:type="gramStart"/>
      <w:r w:rsidRPr="00270636">
        <w:rPr>
          <w:rFonts w:ascii="Times New Roman" w:eastAsia="Times New Roman" w:hAnsi="Times New Roman" w:cs="Times New Roman"/>
          <w:color w:val="000000"/>
          <w:sz w:val="27"/>
          <w:szCs w:val="27"/>
          <w:lang w:eastAsia="fr-FR"/>
        </w:rPr>
        <w:t>,</w:t>
      </w:r>
      <w:proofErr w:type="gramEnd"/>
      <w:r w:rsidRPr="00270636">
        <w:rPr>
          <w:rFonts w:ascii="Times New Roman" w:eastAsia="Times New Roman" w:hAnsi="Times New Roman" w:cs="Times New Roman"/>
          <w:color w:val="000000"/>
          <w:sz w:val="27"/>
          <w:szCs w:val="27"/>
          <w:lang w:eastAsia="fr-FR"/>
        </w:rPr>
        <w:br/>
        <w:t xml:space="preserve">Olivier </w:t>
      </w:r>
      <w:proofErr w:type="spellStart"/>
      <w:r w:rsidRPr="00270636">
        <w:rPr>
          <w:rFonts w:ascii="Times New Roman" w:eastAsia="Times New Roman" w:hAnsi="Times New Roman" w:cs="Times New Roman"/>
          <w:color w:val="000000"/>
          <w:sz w:val="27"/>
          <w:szCs w:val="27"/>
          <w:lang w:eastAsia="fr-FR"/>
        </w:rPr>
        <w:t>Véran</w:t>
      </w:r>
      <w:proofErr w:type="spellEnd"/>
    </w:p>
    <w:p w:rsidR="00270636" w:rsidRPr="00270636" w:rsidRDefault="00270636" w:rsidP="00270636">
      <w:pPr>
        <w:spacing w:before="100" w:beforeAutospacing="1" w:after="100" w:afterAutospacing="1"/>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br/>
        <w:t>Le ministre de l'économie, des finances et de la relance</w:t>
      </w:r>
      <w:proofErr w:type="gramStart"/>
      <w:r w:rsidRPr="00270636">
        <w:rPr>
          <w:rFonts w:ascii="Times New Roman" w:eastAsia="Times New Roman" w:hAnsi="Times New Roman" w:cs="Times New Roman"/>
          <w:color w:val="000000"/>
          <w:sz w:val="27"/>
          <w:szCs w:val="27"/>
          <w:lang w:eastAsia="fr-FR"/>
        </w:rPr>
        <w:t>,</w:t>
      </w:r>
      <w:proofErr w:type="gramEnd"/>
      <w:r w:rsidRPr="00270636">
        <w:rPr>
          <w:rFonts w:ascii="Times New Roman" w:eastAsia="Times New Roman" w:hAnsi="Times New Roman" w:cs="Times New Roman"/>
          <w:color w:val="000000"/>
          <w:sz w:val="27"/>
          <w:szCs w:val="27"/>
          <w:lang w:eastAsia="fr-FR"/>
        </w:rPr>
        <w:br/>
        <w:t>Bruno Le Maire</w:t>
      </w:r>
    </w:p>
    <w:p w:rsidR="00270636" w:rsidRPr="00270636" w:rsidRDefault="00270636" w:rsidP="00270636">
      <w:pPr>
        <w:spacing w:before="100" w:beforeAutospacing="1" w:after="100" w:afterAutospacing="1"/>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br/>
        <w:t>Le ministre de l'intérieur</w:t>
      </w:r>
      <w:proofErr w:type="gramStart"/>
      <w:r w:rsidRPr="00270636">
        <w:rPr>
          <w:rFonts w:ascii="Times New Roman" w:eastAsia="Times New Roman" w:hAnsi="Times New Roman" w:cs="Times New Roman"/>
          <w:color w:val="000000"/>
          <w:sz w:val="27"/>
          <w:szCs w:val="27"/>
          <w:lang w:eastAsia="fr-FR"/>
        </w:rPr>
        <w:t>,</w:t>
      </w:r>
      <w:proofErr w:type="gramEnd"/>
      <w:r w:rsidRPr="00270636">
        <w:rPr>
          <w:rFonts w:ascii="Times New Roman" w:eastAsia="Times New Roman" w:hAnsi="Times New Roman" w:cs="Times New Roman"/>
          <w:color w:val="000000"/>
          <w:sz w:val="27"/>
          <w:szCs w:val="27"/>
          <w:lang w:eastAsia="fr-FR"/>
        </w:rPr>
        <w:br/>
        <w:t xml:space="preserve">Gérald </w:t>
      </w:r>
      <w:proofErr w:type="spellStart"/>
      <w:r w:rsidRPr="00270636">
        <w:rPr>
          <w:rFonts w:ascii="Times New Roman" w:eastAsia="Times New Roman" w:hAnsi="Times New Roman" w:cs="Times New Roman"/>
          <w:color w:val="000000"/>
          <w:sz w:val="27"/>
          <w:szCs w:val="27"/>
          <w:lang w:eastAsia="fr-FR"/>
        </w:rPr>
        <w:t>Darmanin</w:t>
      </w:r>
      <w:proofErr w:type="spellEnd"/>
    </w:p>
    <w:p w:rsidR="00270636" w:rsidRPr="00270636" w:rsidRDefault="00270636" w:rsidP="00270636">
      <w:pPr>
        <w:spacing w:before="100" w:beforeAutospacing="1" w:after="100" w:afterAutospacing="1"/>
        <w:rPr>
          <w:rFonts w:ascii="Times New Roman" w:eastAsia="Times New Roman" w:hAnsi="Times New Roman" w:cs="Times New Roman"/>
          <w:color w:val="000000"/>
          <w:sz w:val="27"/>
          <w:szCs w:val="27"/>
          <w:lang w:eastAsia="fr-FR"/>
        </w:rPr>
      </w:pPr>
      <w:r w:rsidRPr="00270636">
        <w:rPr>
          <w:rFonts w:ascii="Times New Roman" w:eastAsia="Times New Roman" w:hAnsi="Times New Roman" w:cs="Times New Roman"/>
          <w:color w:val="000000"/>
          <w:sz w:val="27"/>
          <w:szCs w:val="27"/>
          <w:lang w:eastAsia="fr-FR"/>
        </w:rPr>
        <w:br/>
        <w:t>Le ministre des outre-mer</w:t>
      </w:r>
      <w:proofErr w:type="gramStart"/>
      <w:r w:rsidRPr="00270636">
        <w:rPr>
          <w:rFonts w:ascii="Times New Roman" w:eastAsia="Times New Roman" w:hAnsi="Times New Roman" w:cs="Times New Roman"/>
          <w:color w:val="000000"/>
          <w:sz w:val="27"/>
          <w:szCs w:val="27"/>
          <w:lang w:eastAsia="fr-FR"/>
        </w:rPr>
        <w:t>,</w:t>
      </w:r>
      <w:proofErr w:type="gramEnd"/>
      <w:r w:rsidRPr="00270636">
        <w:rPr>
          <w:rFonts w:ascii="Times New Roman" w:eastAsia="Times New Roman" w:hAnsi="Times New Roman" w:cs="Times New Roman"/>
          <w:color w:val="000000"/>
          <w:sz w:val="27"/>
          <w:szCs w:val="27"/>
          <w:lang w:eastAsia="fr-FR"/>
        </w:rPr>
        <w:br/>
        <w:t xml:space="preserve">Sébastien </w:t>
      </w:r>
      <w:proofErr w:type="spellStart"/>
      <w:r w:rsidRPr="00270636">
        <w:rPr>
          <w:rFonts w:ascii="Times New Roman" w:eastAsia="Times New Roman" w:hAnsi="Times New Roman" w:cs="Times New Roman"/>
          <w:color w:val="000000"/>
          <w:sz w:val="27"/>
          <w:szCs w:val="27"/>
          <w:lang w:eastAsia="fr-FR"/>
        </w:rPr>
        <w:t>Lecornu</w:t>
      </w:r>
      <w:proofErr w:type="spellEnd"/>
    </w:p>
    <w:p w:rsidR="00AB245C" w:rsidRDefault="00AB245C"/>
    <w:sectPr w:rsidR="00AB245C" w:rsidSect="00AB24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0636"/>
    <w:rsid w:val="00270636"/>
    <w:rsid w:val="0077795E"/>
    <w:rsid w:val="00AB24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45C"/>
  </w:style>
  <w:style w:type="paragraph" w:styleId="Titre2">
    <w:name w:val="heading 2"/>
    <w:basedOn w:val="Normal"/>
    <w:link w:val="Titre2Car"/>
    <w:uiPriority w:val="9"/>
    <w:qFormat/>
    <w:rsid w:val="00270636"/>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270636"/>
    <w:pPr>
      <w:spacing w:before="100" w:beforeAutospacing="1" w:after="100" w:afterAutospacing="1"/>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70636"/>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270636"/>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270636"/>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93528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3477</Words>
  <Characters>19128</Characters>
  <Application>Microsoft Office Word</Application>
  <DocSecurity>0</DocSecurity>
  <Lines>159</Lines>
  <Paragraphs>45</Paragraphs>
  <ScaleCrop>false</ScaleCrop>
  <Company/>
  <LinksUpToDate>false</LinksUpToDate>
  <CharactersWithSpaces>22560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dc:creator>
  <cp:lastModifiedBy>Jacky</cp:lastModifiedBy>
  <cp:revision>1</cp:revision>
  <dcterms:created xsi:type="dcterms:W3CDTF">2021-08-08T20:12:00Z</dcterms:created>
  <dcterms:modified xsi:type="dcterms:W3CDTF">2021-08-08T20:14:00Z</dcterms:modified>
</cp:coreProperties>
</file>