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BE21" w14:textId="77777777" w:rsidR="00B315E3" w:rsidRDefault="00B315E3">
      <w:pPr>
        <w:pStyle w:val="Standard"/>
        <w:rPr>
          <w:rFonts w:ascii="Times New Roman" w:hAnsi="Times New Roman"/>
        </w:rPr>
      </w:pPr>
    </w:p>
    <w:p w14:paraId="74679B21" w14:textId="77777777" w:rsidR="00B315E3" w:rsidRDefault="00B315E3">
      <w:pPr>
        <w:pStyle w:val="Standard"/>
        <w:rPr>
          <w:rFonts w:ascii="Times New Roman" w:hAnsi="Times New Roman"/>
        </w:rPr>
      </w:pPr>
    </w:p>
    <w:p w14:paraId="45B73079" w14:textId="77777777" w:rsidR="00B315E3" w:rsidRDefault="00A62A0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JULES ISAAC,</w:t>
      </w:r>
      <w:r>
        <w:rPr>
          <w:rFonts w:ascii="Times New Roman" w:hAnsi="Times New Roman"/>
        </w:rPr>
        <w:t xml:space="preserve"> PROFESSEUR AGRÉGÉ D’HISTOIRE,</w:t>
      </w:r>
    </w:p>
    <w:p w14:paraId="1FCB6774" w14:textId="77777777" w:rsidR="00B315E3" w:rsidRDefault="00A62A0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ET AUTEUR DE MANUELS SCOLAIRES</w:t>
      </w:r>
    </w:p>
    <w:p w14:paraId="594C8A48" w14:textId="77777777" w:rsidR="00B315E3" w:rsidRDefault="00A62A0D">
      <w:pPr>
        <w:pStyle w:val="Standard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NOMMÉ  AU</w:t>
      </w:r>
      <w:proofErr w:type="gramEnd"/>
      <w:r>
        <w:rPr>
          <w:rFonts w:ascii="Times New Roman" w:hAnsi="Times New Roman"/>
        </w:rPr>
        <w:t xml:space="preserve"> LYCÉE MASSÉNA EN 1902</w:t>
      </w:r>
    </w:p>
    <w:p w14:paraId="6861CE63" w14:textId="77777777" w:rsidR="00B315E3" w:rsidRDefault="00B315E3">
      <w:pPr>
        <w:pStyle w:val="Standard"/>
        <w:jc w:val="center"/>
        <w:rPr>
          <w:rFonts w:ascii="Times New Roman" w:hAnsi="Times New Roman"/>
        </w:rPr>
      </w:pPr>
    </w:p>
    <w:p w14:paraId="0B378AD4" w14:textId="77777777" w:rsidR="00B315E3" w:rsidRDefault="00B315E3">
      <w:pPr>
        <w:pStyle w:val="Standard"/>
        <w:jc w:val="center"/>
        <w:rPr>
          <w:rFonts w:ascii="Times New Roman" w:hAnsi="Times New Roman"/>
        </w:rPr>
      </w:pPr>
    </w:p>
    <w:p w14:paraId="6CD598D7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Né à Rennes le 18 novembre 1877, Jules Isaac décède à Aix-en-Provence le 5 septembre 1963.</w:t>
      </w:r>
    </w:p>
    <w:p w14:paraId="5955684A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 père était un militaire alsacien qui avait choisi la France en 18</w:t>
      </w:r>
      <w:r>
        <w:rPr>
          <w:rFonts w:ascii="Times New Roman" w:hAnsi="Times New Roman"/>
        </w:rPr>
        <w:t xml:space="preserve">71. Bien qu’il </w:t>
      </w:r>
      <w:proofErr w:type="gramStart"/>
      <w:r>
        <w:rPr>
          <w:rFonts w:ascii="Times New Roman" w:hAnsi="Times New Roman"/>
        </w:rPr>
        <w:t>n’étudia</w:t>
      </w:r>
      <w:proofErr w:type="gramEnd"/>
      <w:r>
        <w:rPr>
          <w:rFonts w:ascii="Times New Roman" w:hAnsi="Times New Roman"/>
        </w:rPr>
        <w:t xml:space="preserve"> pas dans une grande école militaire, il fut lieutenant-colonel d’artillerie et obtint la légion d’honneur. Le grand-père de Jules Isaac et son oncle (médaille militaire, légion d’honneur) furent aussi de valeureux soldats français.</w:t>
      </w:r>
    </w:p>
    <w:p w14:paraId="3C8EC636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Orphelin à 13 ans de ses deux parents, il est interne à Sceaux au Lycée Lakanal. Son agrégation d’histoire en poche en 1902, il enseigne au Lycée Masséna.</w:t>
      </w:r>
    </w:p>
    <w:p w14:paraId="4C56CB9A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carrière se poursuit à Sens puis à Paris, d’abord à Louis-le-Grand et ensuite à Saint-Louis.</w:t>
      </w:r>
    </w:p>
    <w:p w14:paraId="38CD9F73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L’his</w:t>
      </w:r>
      <w:r>
        <w:rPr>
          <w:rFonts w:ascii="Times New Roman" w:hAnsi="Times New Roman"/>
        </w:rPr>
        <w:t>torien Ernest Lavisse le fait entrer dans la maison d’édition Hachette qui publie déjà la collection des manuels d’histoire d’Albert Malet *. Il commence par publier des aide-mémoires pour le baccalauréat, puis collabore avec Albert Malet à des manuels pou</w:t>
      </w:r>
      <w:r>
        <w:rPr>
          <w:rFonts w:ascii="Times New Roman" w:hAnsi="Times New Roman"/>
        </w:rPr>
        <w:t>r l’enseignement primaire supérieur.</w:t>
      </w:r>
    </w:p>
    <w:p w14:paraId="436AC3B6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le décès d’Albert Malet, Jules Isaac, en accord avec la Librairie Hachette, continue la mise à jour des manuels en fonction des nouveaux programmes tout en conservant le nom de son illustre prédécesseur — engagé </w:t>
      </w:r>
      <w:proofErr w:type="gram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olontaire  tombé</w:t>
      </w:r>
      <w:proofErr w:type="gramEnd"/>
      <w:r>
        <w:rPr>
          <w:rFonts w:ascii="Times New Roman" w:hAnsi="Times New Roman"/>
        </w:rPr>
        <w:t xml:space="preserve"> à la guerre — sur les couvertures : 7 volumes de la 6ème à la terminale publiés de 1923 à 1930.</w:t>
      </w:r>
    </w:p>
    <w:p w14:paraId="71E2FB26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Membre de la Ligue des Droits de l’Homme et du Citoyen ainsi </w:t>
      </w:r>
      <w:proofErr w:type="gramStart"/>
      <w:r>
        <w:rPr>
          <w:rFonts w:ascii="Times New Roman" w:hAnsi="Times New Roman"/>
        </w:rPr>
        <w:t>que  du</w:t>
      </w:r>
      <w:proofErr w:type="gramEnd"/>
      <w:r>
        <w:rPr>
          <w:rFonts w:ascii="Times New Roman" w:hAnsi="Times New Roman"/>
        </w:rPr>
        <w:t xml:space="preserve"> Comité de vigilance des intellectuels antifascistes, il milite pour la rév</w:t>
      </w:r>
      <w:r>
        <w:rPr>
          <w:rFonts w:ascii="Times New Roman" w:hAnsi="Times New Roman"/>
        </w:rPr>
        <w:t>ision des manuels scolaires. Il est nommé en 1936 par le Gouvernement Blum, Inspecteur général de l’Instruction publique.</w:t>
      </w:r>
    </w:p>
    <w:p w14:paraId="2BC9DF6F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1940, Jules Isaac, alors âgé de 63 ans, est révoqué en vertu du statut discriminatoire des juifs du gouvernement Pétain. Il se réfu</w:t>
      </w:r>
      <w:r>
        <w:rPr>
          <w:rFonts w:ascii="Times New Roman" w:hAnsi="Times New Roman"/>
        </w:rPr>
        <w:t xml:space="preserve">gie avec sa famille en zone libre d’abord à Aix-en-Provence puis à Riom car son gendre travaille à l’Agence Havas de Vichy toute proche. Le 7 octobre 1943, impliqués </w:t>
      </w:r>
      <w:proofErr w:type="gramStart"/>
      <w:r>
        <w:rPr>
          <w:rFonts w:ascii="Times New Roman" w:hAnsi="Times New Roman"/>
        </w:rPr>
        <w:t>dans</w:t>
      </w:r>
      <w:proofErr w:type="gramEnd"/>
      <w:r>
        <w:rPr>
          <w:rFonts w:ascii="Times New Roman" w:hAnsi="Times New Roman"/>
        </w:rPr>
        <w:t xml:space="preserve"> la résistance, sa femme Laure née </w:t>
      </w:r>
      <w:proofErr w:type="spellStart"/>
      <w:r>
        <w:rPr>
          <w:rFonts w:ascii="Times New Roman" w:hAnsi="Times New Roman"/>
        </w:rPr>
        <w:t>Ettinghausen</w:t>
      </w:r>
      <w:proofErr w:type="spellEnd"/>
      <w:r>
        <w:rPr>
          <w:rFonts w:ascii="Times New Roman" w:hAnsi="Times New Roman"/>
        </w:rPr>
        <w:t xml:space="preserve"> et son fils cadet Jean-Claude, sont ar</w:t>
      </w:r>
      <w:r>
        <w:rPr>
          <w:rFonts w:ascii="Times New Roman" w:hAnsi="Times New Roman"/>
        </w:rPr>
        <w:t>rêtés par la Gestapo et déportés à Auschwitz où ils trouvent la mort.</w:t>
      </w:r>
    </w:p>
    <w:p w14:paraId="7A8D7E43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fut rétabli dans ses droits en 1945.</w:t>
      </w:r>
    </w:p>
    <w:p w14:paraId="2131C17C" w14:textId="77777777" w:rsidR="00B315E3" w:rsidRDefault="00A62A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Bibliographie :</w:t>
      </w:r>
    </w:p>
    <w:p w14:paraId="0CD87051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Cours d'histoire Malet-Isaac, en 7 volumes, 1923-1930</w:t>
      </w:r>
    </w:p>
    <w:p w14:paraId="665984BA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 Paradoxe sur la science homicide et autres hérésies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Rieder</w:t>
      </w:r>
      <w:proofErr w:type="spellEnd"/>
      <w:r>
        <w:rPr>
          <w:rFonts w:ascii="Times New Roman" w:hAnsi="Times New Roman"/>
        </w:rPr>
        <w:t>, 1936</w:t>
      </w:r>
    </w:p>
    <w:p w14:paraId="1345C158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Jésus et Israël 1948</w:t>
      </w:r>
    </w:p>
    <w:p w14:paraId="7617046A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 Genèse de l'antisémitisme, essai historique</w:t>
      </w:r>
      <w:r>
        <w:rPr>
          <w:rFonts w:ascii="Times New Roman" w:hAnsi="Times New Roman"/>
        </w:rPr>
        <w:t xml:space="preserve">, Paris : </w:t>
      </w:r>
      <w:proofErr w:type="spellStart"/>
      <w:r>
        <w:rPr>
          <w:rFonts w:ascii="Times New Roman" w:hAnsi="Times New Roman"/>
        </w:rPr>
        <w:t>Callmann-Lévy</w:t>
      </w:r>
      <w:proofErr w:type="spellEnd"/>
      <w:r>
        <w:rPr>
          <w:rFonts w:ascii="Times New Roman" w:hAnsi="Times New Roman"/>
        </w:rPr>
        <w:t>, 1956 ; réédité en 1985, coll. « Agora », et en 1998, coll. « 10-18 »</w:t>
      </w:r>
    </w:p>
    <w:p w14:paraId="6C11403B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L'antisémitisme a-t-il des racines </w:t>
      </w:r>
      <w:proofErr w:type="gramStart"/>
      <w:r>
        <w:rPr>
          <w:rFonts w:ascii="Times New Roman" w:hAnsi="Times New Roman"/>
          <w:i/>
        </w:rPr>
        <w:t>chrétiennes ?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Paris : </w:t>
      </w:r>
      <w:proofErr w:type="spellStart"/>
      <w:r>
        <w:rPr>
          <w:rFonts w:ascii="Times New Roman" w:hAnsi="Times New Roman"/>
        </w:rPr>
        <w:t>Fasquelle</w:t>
      </w:r>
      <w:proofErr w:type="spellEnd"/>
      <w:r>
        <w:rPr>
          <w:rFonts w:ascii="Times New Roman" w:hAnsi="Times New Roman"/>
        </w:rPr>
        <w:t>, 1960</w:t>
      </w:r>
    </w:p>
    <w:p w14:paraId="6CD9FCA9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 Expérience de ma v</w:t>
      </w:r>
      <w:r>
        <w:rPr>
          <w:rFonts w:ascii="Times New Roman" w:hAnsi="Times New Roman"/>
          <w:i/>
        </w:rPr>
        <w:t>ie, Péguy</w:t>
      </w:r>
      <w:r>
        <w:rPr>
          <w:rFonts w:ascii="Times New Roman" w:hAnsi="Times New Roman"/>
        </w:rPr>
        <w:t>, 1960</w:t>
      </w:r>
    </w:p>
    <w:p w14:paraId="01BEC886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 L’Enseignement du mépris</w:t>
      </w:r>
      <w:r>
        <w:rPr>
          <w:rFonts w:ascii="Times New Roman" w:hAnsi="Times New Roman"/>
        </w:rPr>
        <w:t>, 1962</w:t>
      </w:r>
    </w:p>
    <w:p w14:paraId="0F1F6A2A" w14:textId="77777777" w:rsidR="00B315E3" w:rsidRDefault="00B315E3">
      <w:pPr>
        <w:pStyle w:val="Standard"/>
        <w:jc w:val="both"/>
        <w:rPr>
          <w:rFonts w:ascii="Times New Roman" w:hAnsi="Times New Roman"/>
        </w:rPr>
      </w:pPr>
    </w:p>
    <w:p w14:paraId="43388A8D" w14:textId="77777777" w:rsidR="00B315E3" w:rsidRDefault="00B315E3">
      <w:pPr>
        <w:pStyle w:val="Standard"/>
        <w:jc w:val="both"/>
        <w:rPr>
          <w:rFonts w:ascii="Times New Roman" w:hAnsi="Times New Roman"/>
          <w:color w:val="000000"/>
        </w:rPr>
      </w:pPr>
    </w:p>
    <w:p w14:paraId="6B282407" w14:textId="77777777" w:rsidR="00B315E3" w:rsidRDefault="00A62A0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Albert Malet née à Clermont-Ferrand le 3 mai 1864. Il obtient l’agrégation d'histoire et géographie en 1889, professeur au Lycée Voltaire en 1897 puis à Louis-le-Grand en 1914. Il est l’un des fondateur</w:t>
      </w:r>
      <w:r>
        <w:rPr>
          <w:rFonts w:ascii="Times New Roman" w:hAnsi="Times New Roman"/>
          <w:color w:val="000000"/>
        </w:rPr>
        <w:t>s en 1904 de la Société d’Histoire de la Révolution.</w:t>
      </w:r>
    </w:p>
    <w:p w14:paraId="7DFB1474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Collaborateur d’Ernest Lavisse (1842-1922, Ernest Lavisse est professeur au Lycée Hoche de Versailles) pour la rédaction de </w:t>
      </w:r>
      <w:r>
        <w:rPr>
          <w:rFonts w:ascii="Times New Roman" w:hAnsi="Times New Roman"/>
          <w:i/>
          <w:color w:val="000000"/>
        </w:rPr>
        <w:t>Histoire de France illustrée depuis les origines jusqu’à la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Révolution</w:t>
      </w:r>
      <w:r>
        <w:rPr>
          <w:rFonts w:ascii="Times New Roman" w:hAnsi="Times New Roman"/>
          <w:color w:val="000000"/>
        </w:rPr>
        <w:t>, (écrit de 1900 à 1912), il est désigné par celui-ci pour rédiger de nouveaux manuels scolaires d’histoire conformes à la réforme des programmes de 1902.</w:t>
      </w:r>
    </w:p>
    <w:p w14:paraId="244CA658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Il publie plusieurs manuels destinés aux élèves du secondaire :</w:t>
      </w:r>
    </w:p>
    <w:p w14:paraId="2B964FB8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L'Antiquité - Orient - Gr</w:t>
      </w:r>
      <w:r>
        <w:rPr>
          <w:rFonts w:ascii="Times New Roman" w:hAnsi="Times New Roman"/>
          <w:i/>
          <w:color w:val="000000"/>
        </w:rPr>
        <w:t xml:space="preserve">èce – Rome, </w:t>
      </w:r>
      <w:r>
        <w:rPr>
          <w:rFonts w:ascii="Times New Roman" w:hAnsi="Times New Roman"/>
          <w:color w:val="000000"/>
        </w:rPr>
        <w:t>en collaboration avec Charles Maquet, en 1902,</w:t>
      </w:r>
    </w:p>
    <w:p w14:paraId="407CFFD7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Les temps modernes (1498-1789)</w:t>
      </w:r>
      <w:r>
        <w:rPr>
          <w:rFonts w:ascii="Times New Roman" w:hAnsi="Times New Roman"/>
          <w:color w:val="000000"/>
        </w:rPr>
        <w:t xml:space="preserve"> en 1904,</w:t>
      </w:r>
    </w:p>
    <w:p w14:paraId="166FA536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Le Moyen Âge et le commencement des temps modernes</w:t>
      </w:r>
      <w:r>
        <w:rPr>
          <w:rFonts w:ascii="Times New Roman" w:hAnsi="Times New Roman"/>
          <w:color w:val="000000"/>
        </w:rPr>
        <w:t xml:space="preserve"> (</w:t>
      </w:r>
      <w:hyperlink r:id="rId6" w:history="1">
        <w:r>
          <w:t>1903</w:t>
        </w:r>
      </w:hyperlink>
      <w:r>
        <w:rPr>
          <w:rFonts w:ascii="Times New Roman" w:hAnsi="Times New Roman"/>
          <w:color w:val="000000"/>
        </w:rPr>
        <w:t>-</w:t>
      </w:r>
      <w:hyperlink r:id="rId7" w:history="1">
        <w:r>
          <w:t>1904</w:t>
        </w:r>
      </w:hyperlink>
      <w:r>
        <w:rPr>
          <w:rFonts w:ascii="Times New Roman" w:hAnsi="Times New Roman"/>
          <w:color w:val="000000"/>
        </w:rPr>
        <w:t>),</w:t>
      </w:r>
    </w:p>
    <w:p w14:paraId="5421D4BE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L'époque contemporaine</w:t>
      </w:r>
      <w:r>
        <w:rPr>
          <w:rFonts w:ascii="Times New Roman" w:hAnsi="Times New Roman"/>
          <w:color w:val="000000"/>
        </w:rPr>
        <w:t xml:space="preserve"> en 1905,</w:t>
      </w:r>
    </w:p>
    <w:p w14:paraId="30EB6BD8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Histoire de France et notions sommaires d'histoire générale jusqu'en 1610</w:t>
      </w:r>
      <w:r>
        <w:rPr>
          <w:rFonts w:ascii="Times New Roman" w:hAnsi="Times New Roman"/>
          <w:color w:val="000000"/>
        </w:rPr>
        <w:t xml:space="preserve"> en 1906,</w:t>
      </w:r>
    </w:p>
    <w:p w14:paraId="529509BF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Histoire de France et notions sommaires d'histoire générale de 1610 à 1789</w:t>
      </w:r>
      <w:r>
        <w:rPr>
          <w:rFonts w:ascii="Times New Roman" w:hAnsi="Times New Roman"/>
          <w:color w:val="000000"/>
        </w:rPr>
        <w:t xml:space="preserve"> en 1909,</w:t>
      </w:r>
    </w:p>
    <w:p w14:paraId="3AA3BAC8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Histoire moderne (1498-1715)</w:t>
      </w:r>
      <w:r>
        <w:rPr>
          <w:rFonts w:ascii="Times New Roman" w:hAnsi="Times New Roman"/>
          <w:color w:val="000000"/>
        </w:rPr>
        <w:t xml:space="preserve"> en 19</w:t>
      </w:r>
      <w:r>
        <w:rPr>
          <w:rFonts w:ascii="Times New Roman" w:hAnsi="Times New Roman"/>
          <w:color w:val="000000"/>
        </w:rPr>
        <w:t>09,</w:t>
      </w:r>
    </w:p>
    <w:p w14:paraId="36414EB1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Histoire de France et notions sommaires d'histoire générale jusqu'à la Révolution</w:t>
      </w:r>
      <w:r>
        <w:rPr>
          <w:rFonts w:ascii="Times New Roman" w:hAnsi="Times New Roman"/>
          <w:color w:val="000000"/>
        </w:rPr>
        <w:t xml:space="preserve"> en 1910,</w:t>
      </w:r>
    </w:p>
    <w:p w14:paraId="0274B372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Histoire de France et notions sommaires d'histoire générale depuis la Révolution jusqu'en 1875</w:t>
      </w:r>
      <w:r>
        <w:rPr>
          <w:rFonts w:ascii="Times New Roman" w:hAnsi="Times New Roman"/>
          <w:color w:val="000000"/>
        </w:rPr>
        <w:t xml:space="preserve"> en 1911,</w:t>
      </w:r>
    </w:p>
    <w:p w14:paraId="5214D968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XVIIIe siècle Révolution Empire (1715-1815)</w:t>
      </w:r>
      <w:r>
        <w:rPr>
          <w:rFonts w:ascii="Times New Roman" w:hAnsi="Times New Roman"/>
          <w:color w:val="000000"/>
        </w:rPr>
        <w:t xml:space="preserve"> en 1914</w:t>
      </w:r>
      <w:r>
        <w:rPr>
          <w:rFonts w:ascii="Times New Roman" w:hAnsi="Times New Roman"/>
          <w:color w:val="000000"/>
        </w:rPr>
        <w:t>,</w:t>
      </w:r>
    </w:p>
    <w:p w14:paraId="04E53F15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- XIXe siècle (1815-1900)</w:t>
      </w:r>
      <w:r>
        <w:rPr>
          <w:rFonts w:ascii="Times New Roman" w:hAnsi="Times New Roman"/>
          <w:color w:val="000000"/>
        </w:rPr>
        <w:t xml:space="preserve"> en 1914.</w:t>
      </w:r>
    </w:p>
    <w:p w14:paraId="69B1BA01" w14:textId="77777777" w:rsidR="00B315E3" w:rsidRDefault="00A62A0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Compte tenu de son âge au début de la Première Guerre mondiale, 50 ans, il n’est pas mobilisable. Pourtant il s’engage. Sous-lieutenant au 63ème régiment d’Infanterie, il est tué lors de l’offensive d’Artois à Thélus l</w:t>
      </w:r>
      <w:r>
        <w:rPr>
          <w:rFonts w:ascii="Times New Roman" w:hAnsi="Times New Roman"/>
          <w:color w:val="000000"/>
        </w:rPr>
        <w:t>e 25 septembre 1915 à seulement 51 ans.</w:t>
      </w:r>
    </w:p>
    <w:p w14:paraId="6239AD1A" w14:textId="77777777" w:rsidR="00B315E3" w:rsidRDefault="00B315E3">
      <w:pPr>
        <w:pStyle w:val="Standard"/>
        <w:jc w:val="both"/>
        <w:rPr>
          <w:rFonts w:ascii="Times New Roman" w:hAnsi="Times New Roman"/>
        </w:rPr>
      </w:pPr>
    </w:p>
    <w:p w14:paraId="59B29822" w14:textId="77777777" w:rsidR="00B315E3" w:rsidRDefault="00B315E3">
      <w:pPr>
        <w:pStyle w:val="Standard"/>
        <w:jc w:val="center"/>
        <w:rPr>
          <w:rFonts w:ascii="Times New Roman" w:hAnsi="Times New Roman"/>
        </w:rPr>
      </w:pPr>
    </w:p>
    <w:p w14:paraId="33833A73" w14:textId="77777777" w:rsidR="00B315E3" w:rsidRDefault="00A62A0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04423D2" wp14:editId="011F15D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75200" cy="354960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35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62F69" w14:textId="77777777" w:rsidR="00B315E3" w:rsidRDefault="00B315E3">
      <w:pPr>
        <w:pStyle w:val="Standard"/>
        <w:rPr>
          <w:rFonts w:ascii="Times New Roman" w:hAnsi="Times New Roman"/>
        </w:rPr>
      </w:pPr>
    </w:p>
    <w:p w14:paraId="07359CA0" w14:textId="77777777" w:rsidR="00B315E3" w:rsidRDefault="00B315E3">
      <w:pPr>
        <w:pStyle w:val="Standard"/>
        <w:rPr>
          <w:rFonts w:ascii="Times New Roman" w:hAnsi="Times New Roman"/>
        </w:rPr>
      </w:pPr>
    </w:p>
    <w:p w14:paraId="2EC6528F" w14:textId="77777777" w:rsidR="00B315E3" w:rsidRDefault="00B315E3">
      <w:pPr>
        <w:pStyle w:val="Standard"/>
        <w:rPr>
          <w:rFonts w:ascii="Times New Roman" w:hAnsi="Times New Roman"/>
        </w:rPr>
      </w:pPr>
    </w:p>
    <w:p w14:paraId="095A06C7" w14:textId="77777777" w:rsidR="00B315E3" w:rsidRDefault="00B315E3">
      <w:pPr>
        <w:pStyle w:val="Standard"/>
        <w:rPr>
          <w:rFonts w:ascii="Times New Roman" w:hAnsi="Times New Roman"/>
        </w:rPr>
      </w:pPr>
    </w:p>
    <w:p w14:paraId="5DC2B710" w14:textId="77777777" w:rsidR="00B315E3" w:rsidRDefault="00B315E3">
      <w:pPr>
        <w:pStyle w:val="Standard"/>
        <w:rPr>
          <w:rFonts w:ascii="Times New Roman" w:hAnsi="Times New Roman"/>
        </w:rPr>
      </w:pPr>
    </w:p>
    <w:p w14:paraId="11F5D88D" w14:textId="77777777" w:rsidR="00B315E3" w:rsidRDefault="00B315E3">
      <w:pPr>
        <w:pStyle w:val="Standard"/>
        <w:rPr>
          <w:rFonts w:ascii="Times New Roman" w:hAnsi="Times New Roman"/>
        </w:rPr>
      </w:pPr>
    </w:p>
    <w:p w14:paraId="1F8156BE" w14:textId="77777777" w:rsidR="00B315E3" w:rsidRDefault="00B315E3">
      <w:pPr>
        <w:pStyle w:val="Standard"/>
        <w:rPr>
          <w:rFonts w:ascii="Times New Roman" w:hAnsi="Times New Roman"/>
        </w:rPr>
      </w:pPr>
    </w:p>
    <w:p w14:paraId="3FE96F5F" w14:textId="77777777" w:rsidR="00B315E3" w:rsidRDefault="00B315E3">
      <w:pPr>
        <w:pStyle w:val="Standard"/>
        <w:rPr>
          <w:rFonts w:ascii="Times New Roman" w:hAnsi="Times New Roman"/>
        </w:rPr>
      </w:pPr>
    </w:p>
    <w:p w14:paraId="796259C3" w14:textId="77777777" w:rsidR="00B315E3" w:rsidRDefault="00B315E3">
      <w:pPr>
        <w:pStyle w:val="Standard"/>
        <w:rPr>
          <w:rFonts w:ascii="Times New Roman" w:hAnsi="Times New Roman"/>
        </w:rPr>
      </w:pPr>
    </w:p>
    <w:p w14:paraId="4D1A8E44" w14:textId="77777777" w:rsidR="00B315E3" w:rsidRDefault="00B315E3">
      <w:pPr>
        <w:pStyle w:val="Standard"/>
        <w:rPr>
          <w:rFonts w:ascii="Times New Roman" w:hAnsi="Times New Roman"/>
        </w:rPr>
      </w:pPr>
    </w:p>
    <w:p w14:paraId="0ED0AD6F" w14:textId="77777777" w:rsidR="00B315E3" w:rsidRDefault="00B315E3">
      <w:pPr>
        <w:pStyle w:val="Standard"/>
        <w:rPr>
          <w:rFonts w:ascii="Times New Roman" w:hAnsi="Times New Roman"/>
        </w:rPr>
      </w:pPr>
    </w:p>
    <w:p w14:paraId="769A2FEC" w14:textId="77777777" w:rsidR="00B315E3" w:rsidRDefault="00B315E3">
      <w:pPr>
        <w:pStyle w:val="Standard"/>
        <w:rPr>
          <w:rFonts w:ascii="Times New Roman" w:hAnsi="Times New Roman"/>
        </w:rPr>
      </w:pPr>
    </w:p>
    <w:p w14:paraId="142D5E35" w14:textId="77777777" w:rsidR="00B315E3" w:rsidRDefault="00B315E3">
      <w:pPr>
        <w:pStyle w:val="Standard"/>
        <w:rPr>
          <w:rFonts w:ascii="Times New Roman" w:hAnsi="Times New Roman"/>
        </w:rPr>
      </w:pPr>
    </w:p>
    <w:p w14:paraId="2B83D944" w14:textId="77777777" w:rsidR="00B315E3" w:rsidRDefault="00B315E3">
      <w:pPr>
        <w:pStyle w:val="Standard"/>
        <w:rPr>
          <w:rFonts w:ascii="Times New Roman" w:hAnsi="Times New Roman"/>
        </w:rPr>
      </w:pPr>
    </w:p>
    <w:p w14:paraId="7C32E083" w14:textId="77777777" w:rsidR="00B315E3" w:rsidRDefault="00B315E3">
      <w:pPr>
        <w:pStyle w:val="Standard"/>
        <w:rPr>
          <w:rFonts w:ascii="Times New Roman" w:hAnsi="Times New Roman"/>
        </w:rPr>
      </w:pPr>
    </w:p>
    <w:p w14:paraId="46DC077D" w14:textId="77777777" w:rsidR="00B315E3" w:rsidRDefault="00B315E3">
      <w:pPr>
        <w:pStyle w:val="Standard"/>
        <w:jc w:val="both"/>
        <w:rPr>
          <w:rFonts w:ascii="Times New Roman" w:hAnsi="Times New Roman"/>
        </w:rPr>
      </w:pPr>
    </w:p>
    <w:p w14:paraId="021810AB" w14:textId="77777777" w:rsidR="00B315E3" w:rsidRDefault="00B315E3">
      <w:pPr>
        <w:pStyle w:val="Standard"/>
        <w:jc w:val="both"/>
        <w:rPr>
          <w:rFonts w:ascii="Times New Roman" w:hAnsi="Times New Roman"/>
        </w:rPr>
      </w:pPr>
    </w:p>
    <w:sectPr w:rsidR="00B315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C082" w14:textId="77777777" w:rsidR="00A62A0D" w:rsidRDefault="00A62A0D">
      <w:pPr>
        <w:rPr>
          <w:rFonts w:hint="eastAsia"/>
        </w:rPr>
      </w:pPr>
      <w:r>
        <w:separator/>
      </w:r>
    </w:p>
  </w:endnote>
  <w:endnote w:type="continuationSeparator" w:id="0">
    <w:p w14:paraId="3A79F9AD" w14:textId="77777777" w:rsidR="00A62A0D" w:rsidRDefault="00A62A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23AD" w14:textId="77777777" w:rsidR="00A62A0D" w:rsidRDefault="00A62A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CA80A2" w14:textId="77777777" w:rsidR="00A62A0D" w:rsidRDefault="00A62A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15E3"/>
    <w:rsid w:val="0050549D"/>
    <w:rsid w:val="00A62A0D"/>
    <w:rsid w:val="00B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41C"/>
  <w15:docId w15:val="{5AAA6DA4-DF36-42F1-AE14-6E35599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19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190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murris</cp:lastModifiedBy>
  <cp:revision>2</cp:revision>
  <dcterms:created xsi:type="dcterms:W3CDTF">2021-12-06T09:42:00Z</dcterms:created>
  <dcterms:modified xsi:type="dcterms:W3CDTF">2021-12-06T09:42:00Z</dcterms:modified>
</cp:coreProperties>
</file>