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30FE77B5" w:rsidR="002A092D" w:rsidRPr="005728C3" w:rsidRDefault="007A25DB" w:rsidP="002A092D">
      <w:pPr>
        <w:pStyle w:val="En-tte"/>
        <w:jc w:val="right"/>
        <w:rPr>
          <w:rFonts w:ascii="Century Gothic" w:hAnsi="Century Gothic"/>
          <w:noProof/>
        </w:rPr>
      </w:pPr>
      <w:r w:rsidRPr="00E467C2">
        <w:rPr>
          <w:rFonts w:cstheme="minorBidi"/>
          <w:b/>
          <w:bCs/>
          <w:caps/>
          <w:noProof/>
          <w:color w:val="auto"/>
          <w:sz w:val="18"/>
          <w:szCs w:val="18"/>
        </w:rPr>
        <w:drawing>
          <wp:anchor distT="0" distB="0" distL="114300" distR="114300" simplePos="0" relativeHeight="251659264" behindDoc="1" locked="0" layoutInCell="1" allowOverlap="1" wp14:anchorId="2D4329CE" wp14:editId="04A79B05">
            <wp:simplePos x="0" y="0"/>
            <wp:positionH relativeFrom="page">
              <wp:posOffset>899795</wp:posOffset>
            </wp:positionH>
            <wp:positionV relativeFrom="page">
              <wp:posOffset>899795</wp:posOffset>
            </wp:positionV>
            <wp:extent cx="1105200" cy="900000"/>
            <wp:effectExtent l="0" t="0" r="0" b="0"/>
            <wp:wrapNone/>
            <wp:docPr id="1" name="Image 1"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0571955D" w:rsidR="002A092D" w:rsidRDefault="00A12B76"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r w:rsidR="00EE682D">
        <w:rPr>
          <w:rFonts w:ascii="Century Gothic" w:hAnsi="Century Gothic"/>
          <w:sz w:val="48"/>
          <w:szCs w:val="48"/>
        </w:rPr>
        <w:t>avec possibilité de valorisation de doctorat</w:t>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A12B76" w:rsidRDefault="002A092D" w:rsidP="00C02666">
            <w:pPr>
              <w:rPr>
                <w:rFonts w:ascii="Century Gothic" w:hAnsi="Century Gothic"/>
                <w:i/>
              </w:rPr>
            </w:pPr>
            <w:r w:rsidRPr="00A12B76">
              <w:rPr>
                <w:rFonts w:ascii="Century Gothic" w:hAnsi="Century Gothic"/>
                <w:i/>
              </w:rPr>
              <w:t>Référence</w:t>
            </w:r>
          </w:p>
        </w:tc>
        <w:sdt>
          <w:sdtPr>
            <w:rPr>
              <w:rFonts w:ascii="Century Gothic" w:hAnsi="Century Gothic"/>
              <w:i/>
            </w:rPr>
            <w:id w:val="1390697645"/>
            <w:placeholder>
              <w:docPart w:val="A644796FD1B44115B9BCC0A326EE6CC2"/>
            </w:placeholder>
          </w:sdtPr>
          <w:sdtEndPr/>
          <w:sdtContent>
            <w:tc>
              <w:tcPr>
                <w:tcW w:w="6019" w:type="dxa"/>
                <w:vAlign w:val="center"/>
              </w:tcPr>
              <w:p w14:paraId="0CB89C3A" w14:textId="4ED67E03" w:rsidR="002A092D" w:rsidRPr="00A12B76" w:rsidRDefault="00A12B76" w:rsidP="00A12B76">
                <w:pPr>
                  <w:rPr>
                    <w:rFonts w:ascii="Century Gothic" w:hAnsi="Century Gothic"/>
                    <w:i/>
                  </w:rPr>
                </w:pPr>
                <w:r>
                  <w:rPr>
                    <w:rFonts w:ascii="Century Gothic" w:hAnsi="Century Gothic"/>
                    <w:i/>
                  </w:rPr>
                  <w:t>RC0308AS010</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42693084" w:rsidR="002A092D" w:rsidRPr="005728C3" w:rsidRDefault="0096405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9-29T00:00:00Z">
              <w:dateFormat w:val="dd-MM-yy"/>
              <w:lid w:val="fr-BE"/>
              <w:storeMappedDataAs w:val="dateTime"/>
              <w:calendar w:val="gregorian"/>
            </w:date>
          </w:sdtPr>
          <w:sdtEndPr/>
          <w:sdtContent>
            <w:tc>
              <w:tcPr>
                <w:tcW w:w="6019" w:type="dxa"/>
                <w:vAlign w:val="center"/>
              </w:tcPr>
              <w:p w14:paraId="0A9EECAE" w14:textId="3126AD97" w:rsidR="002A092D" w:rsidRPr="005728C3" w:rsidRDefault="00EE682D" w:rsidP="00C02666">
                <w:pPr>
                  <w:rPr>
                    <w:rFonts w:ascii="Century Gothic" w:hAnsi="Century Gothic"/>
                  </w:rPr>
                </w:pPr>
                <w:r>
                  <w:rPr>
                    <w:rFonts w:ascii="Century Gothic" w:hAnsi="Century Gothic"/>
                  </w:rPr>
                  <w:t>29-09-22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78B22E5C" w:rsidR="002A092D" w:rsidRPr="005728C3" w:rsidRDefault="0096405B" w:rsidP="00C02666">
                <w:pPr>
                  <w:rPr>
                    <w:rFonts w:ascii="Century Gothic" w:hAnsi="Century Gothic"/>
                  </w:rPr>
                </w:pPr>
                <w:r>
                  <w:rPr>
                    <w:rFonts w:ascii="Century Gothic" w:hAnsi="Century Gothic"/>
                  </w:rPr>
                  <w:t>Namur</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6002DD66" w:rsidR="002A092D" w:rsidRPr="005728C3" w:rsidRDefault="00140617" w:rsidP="00140617">
                <w:pPr>
                  <w:rPr>
                    <w:rFonts w:ascii="Century Gothic" w:hAnsi="Century Gothic"/>
                  </w:rPr>
                </w:pPr>
                <w:proofErr w:type="spellStart"/>
                <w:r>
                  <w:rPr>
                    <w:rFonts w:ascii="Century Gothic" w:hAnsi="Century Gothic"/>
                  </w:rPr>
                  <w:t>libramont</w:t>
                </w:r>
                <w:proofErr w:type="spellEnd"/>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06B75D1B" w:rsidR="002A092D" w:rsidRPr="005728C3" w:rsidRDefault="00A12B76"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6A8EBF25" w14:textId="79ED1CF6" w:rsidR="00EE682D" w:rsidRDefault="00EE682D" w:rsidP="00EE682D">
      <w:r>
        <w:t>Nous vous offrons un cadre de trav</w:t>
      </w:r>
      <w:r w:rsidR="00A92B2E">
        <w:t>ail stimulant et motivant au sei</w:t>
      </w:r>
      <w:r>
        <w:t>n d’une équipe interdisciplinaire et dynam</w:t>
      </w:r>
      <w:r w:rsidR="00A92B2E">
        <w:t>ique en vue de permettre à la</w:t>
      </w:r>
      <w:r>
        <w:t xml:space="preserve"> société de faire face aux enjeux majeurs (changement climatique, systèmes agro-alimentaires moins gourmands en intrants basés sur la préservation de l’environnement, de la biodiversité et des services écosystémiques y associés) qui se présentent à elle, ce dans un environnement calme et naturel. </w:t>
      </w:r>
    </w:p>
    <w:p w14:paraId="0147DF96" w14:textId="77777777" w:rsidR="00EE682D" w:rsidRDefault="00EE682D" w:rsidP="00EE682D">
      <w:r>
        <w:t xml:space="preserve">Lorsque la fonction s’y prête, le télétravail est envisageable à raison d’une journée par semaine. Des véhicules de service sont mis à disposition pour les missions sur le terrain.  </w:t>
      </w:r>
    </w:p>
    <w:p w14:paraId="3D593B9C" w14:textId="77777777" w:rsidR="00EE682D" w:rsidRPr="003334A0" w:rsidRDefault="00EE682D" w:rsidP="00EE682D">
      <w:r>
        <w:t xml:space="preserve">Les valeurs défendues par notre institution sont l’excellence, le respect et la </w:t>
      </w:r>
      <w:r w:rsidRPr="00B516ED">
        <w:t>reconnaissance</w:t>
      </w:r>
      <w:r>
        <w:t xml:space="preserve">, l’innovation, l’esprit d’équipe et le respect de l’environnement. </w:t>
      </w: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lastRenderedPageBreak/>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p w14:paraId="7C269161" w14:textId="42EF5FEB" w:rsidR="0096405B" w:rsidRPr="00566FE5" w:rsidRDefault="00A12B76" w:rsidP="0096405B">
      <w:pPr>
        <w:rPr>
          <w:rFonts w:ascii="Nunito Sans" w:hAnsi="Nunito Sans"/>
          <w:b/>
        </w:rPr>
      </w:pPr>
      <w:r>
        <w:rPr>
          <w:rFonts w:ascii="Nunito Sans" w:hAnsi="Nunito Sans"/>
          <w:b/>
          <w:noProof/>
        </w:rPr>
        <w:t xml:space="preserve">Département </w:t>
      </w:r>
      <w:r w:rsidR="001B5D9C">
        <w:rPr>
          <w:rFonts w:ascii="Nunito Sans" w:hAnsi="Nunito Sans"/>
          <w:b/>
          <w:noProof/>
        </w:rPr>
        <w:t xml:space="preserve">Durabilité, </w:t>
      </w:r>
      <w:r>
        <w:rPr>
          <w:rFonts w:ascii="Nunito Sans" w:hAnsi="Nunito Sans"/>
          <w:b/>
          <w:noProof/>
        </w:rPr>
        <w:t>Systèmes et prospectives</w:t>
      </w:r>
    </w:p>
    <w:p w14:paraId="6EA421C2" w14:textId="1BBAE009" w:rsidR="0096405B" w:rsidRPr="00566FE5" w:rsidRDefault="00A12B76" w:rsidP="0096405B">
      <w:pPr>
        <w:rPr>
          <w:rFonts w:ascii="Nunito Sans" w:hAnsi="Nunito Sans"/>
          <w:b/>
        </w:rPr>
      </w:pPr>
      <w:r>
        <w:rPr>
          <w:rFonts w:ascii="Nunito Sans" w:hAnsi="Nunito Sans"/>
          <w:b/>
          <w:noProof/>
        </w:rPr>
        <w:t>Unité Systèmes agricoles</w:t>
      </w:r>
    </w:p>
    <w:p w14:paraId="29B0027E" w14:textId="00FB0972" w:rsidR="0096405B" w:rsidRPr="00566FE5" w:rsidRDefault="0096405B" w:rsidP="0096405B">
      <w:pPr>
        <w:rPr>
          <w:rFonts w:ascii="Nunito Sans" w:hAnsi="Nunito Sans"/>
          <w:bCs/>
          <w:noProof/>
        </w:rPr>
      </w:pPr>
      <w:r w:rsidRPr="007A25DB">
        <w:rPr>
          <w:rFonts w:ascii="Nunito Sans" w:hAnsi="Nunito Sans"/>
          <w:bCs/>
          <w:noProof/>
        </w:rPr>
        <w:t xml:space="preserve">Bâtiment </w:t>
      </w:r>
      <w:r w:rsidR="007A25DB" w:rsidRPr="007A25DB">
        <w:rPr>
          <w:rFonts w:ascii="Nunito Sans" w:hAnsi="Nunito Sans"/>
          <w:bCs/>
          <w:noProof/>
        </w:rPr>
        <w:t>Haute</w:t>
      </w:r>
      <w:r w:rsidR="007A25DB">
        <w:rPr>
          <w:rFonts w:ascii="Nunito Sans" w:hAnsi="Nunito Sans"/>
          <w:bCs/>
          <w:noProof/>
        </w:rPr>
        <w:t xml:space="preserve"> Belgique</w:t>
      </w:r>
    </w:p>
    <w:p w14:paraId="605C6EB8" w14:textId="4035AD47" w:rsidR="0096405B" w:rsidRPr="00566FE5" w:rsidRDefault="0096405B" w:rsidP="0096405B">
      <w:pPr>
        <w:rPr>
          <w:rFonts w:ascii="Nunito Sans" w:hAnsi="Nunito Sans"/>
          <w:bCs/>
          <w:noProof/>
        </w:rPr>
      </w:pPr>
      <w:r w:rsidRPr="00566FE5">
        <w:rPr>
          <w:rFonts w:ascii="Nunito Sans" w:hAnsi="Nunito Sans"/>
          <w:bCs/>
          <w:noProof/>
        </w:rPr>
        <w:t xml:space="preserve">Rue </w:t>
      </w:r>
      <w:r w:rsidR="007A25DB">
        <w:rPr>
          <w:rFonts w:ascii="Nunito Sans" w:hAnsi="Nunito Sans"/>
          <w:bCs/>
          <w:noProof/>
        </w:rPr>
        <w:t>du</w:t>
      </w:r>
      <w:r w:rsidR="00A12B76">
        <w:rPr>
          <w:rFonts w:ascii="Nunito Sans" w:hAnsi="Nunito Sans"/>
          <w:bCs/>
          <w:noProof/>
        </w:rPr>
        <w:t>,</w:t>
      </w:r>
      <w:r w:rsidR="007A25DB">
        <w:rPr>
          <w:rFonts w:ascii="Nunito Sans" w:hAnsi="Nunito Sans"/>
          <w:bCs/>
          <w:noProof/>
        </w:rPr>
        <w:t xml:space="preserve"> Serpont, 100</w:t>
      </w:r>
    </w:p>
    <w:p w14:paraId="155797DF" w14:textId="0CC22410" w:rsidR="00B11D14" w:rsidRPr="005728C3" w:rsidRDefault="007A25DB" w:rsidP="0096405B">
      <w:pPr>
        <w:rPr>
          <w:rFonts w:ascii="Century Gothic" w:hAnsi="Century Gothic"/>
          <w:sz w:val="28"/>
          <w:szCs w:val="28"/>
        </w:rPr>
      </w:pPr>
      <w:r>
        <w:rPr>
          <w:rFonts w:ascii="Nunito Sans" w:hAnsi="Nunito Sans"/>
          <w:bCs/>
          <w:noProof/>
        </w:rPr>
        <w:t>6800 LIBRAMONT</w:t>
      </w:r>
    </w:p>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560AF991" w14:textId="7F2756C4" w:rsidR="0096405B" w:rsidRPr="009E6330" w:rsidRDefault="00A37766" w:rsidP="0096405B">
      <w:pPr>
        <w:rPr>
          <w:rFonts w:ascii="Verdana" w:hAnsi="Verdana"/>
          <w:b/>
          <w:bCs/>
          <w:noProof/>
        </w:rPr>
      </w:pPr>
      <w:r>
        <w:rPr>
          <w:rFonts w:ascii="Verdana" w:hAnsi="Verdana"/>
          <w:b/>
          <w:bCs/>
          <w:noProof/>
        </w:rPr>
        <w:t xml:space="preserve">Spécifiquement pour l’Unité Systèmes agricoles </w:t>
      </w:r>
      <w:r w:rsidR="0096405B" w:rsidRPr="009E6330">
        <w:rPr>
          <w:rFonts w:ascii="Verdana" w:hAnsi="Verdana"/>
          <w:b/>
          <w:bCs/>
          <w:noProof/>
        </w:rPr>
        <w:t>:</w:t>
      </w:r>
    </w:p>
    <w:p w14:paraId="0838379B"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Coordination et encadrement de recherches participatives, en partenariat, afin d’étudier et soutenir la mise en œuvre de la transition agro-écologique au sein de réseaux d’agriculteurs en grandes cultures et en polycultures-élevage en prenant en compte ou en incluant les acteurs impliqués ou affectés notamment dans les filières de l’amont et de l’aval des productions agricoles.</w:t>
      </w:r>
    </w:p>
    <w:p w14:paraId="6FB9DF57"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Bonne connaissance des pratiques agro-écologiques mobilisables dans ces différents contextes, des conditions/limites à leur mise en œuvre et capacité à initier/adapter des innovations techniques.</w:t>
      </w:r>
    </w:p>
    <w:p w14:paraId="48BA08FC"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Bonnes compétences d’animateur/facilitateur afin de soutenir la coopération des acteurs dans le cadre de la </w:t>
      </w:r>
      <w:proofErr w:type="spellStart"/>
      <w:r w:rsidRPr="00073329">
        <w:rPr>
          <w:rFonts w:ascii="Verdana" w:eastAsia="Times New Roman" w:hAnsi="Verdana"/>
          <w:sz w:val="16"/>
          <w:szCs w:val="16"/>
          <w:lang w:val="fr-FR" w:eastAsia="fr-FR"/>
        </w:rPr>
        <w:t>co</w:t>
      </w:r>
      <w:proofErr w:type="spellEnd"/>
      <w:r w:rsidRPr="00073329">
        <w:rPr>
          <w:rFonts w:ascii="Verdana" w:eastAsia="Times New Roman" w:hAnsi="Verdana"/>
          <w:sz w:val="16"/>
          <w:szCs w:val="16"/>
          <w:lang w:val="fr-FR" w:eastAsia="fr-FR"/>
        </w:rPr>
        <w:t>-construction collective de solutions permettant de surmonter les barrières rencontrées/identifiées dans le cadre de dynamiques multi-acteurs.</w:t>
      </w:r>
    </w:p>
    <w:p w14:paraId="23F79978"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Construction et exploitation d’outils de gestion et d’analyse de données, tant quantitatives que qualitatives, permettant d’organiser et valoriser l’information collectée.</w:t>
      </w:r>
    </w:p>
    <w:p w14:paraId="6CC755FA"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Organiser, gérer, modérer et valoriser des mises en débats, entre acteurs hétérogènes (ayant un point de vues différents) réuni par une problématique commune en vue de d’atteindre un accord clair et robuste sur l’objectif assigné (par exemple : clarifier la nature du problème à résoudre, établir et prioriser des objectifs communs, élaborer un plan d’action, obtenir une analyse commune des actions mises en œuvre, évaluer une situation problématique, concevoir des innovations </w:t>
      </w:r>
      <w:proofErr w:type="gramStart"/>
      <w:r w:rsidRPr="00073329">
        <w:rPr>
          <w:rFonts w:ascii="Verdana" w:eastAsia="Times New Roman" w:hAnsi="Verdana"/>
          <w:sz w:val="16"/>
          <w:szCs w:val="16"/>
          <w:lang w:val="fr-FR" w:eastAsia="fr-FR"/>
        </w:rPr>
        <w:t>systémiques, ..</w:t>
      </w:r>
      <w:proofErr w:type="gramEnd"/>
      <w:r w:rsidRPr="00073329">
        <w:rPr>
          <w:rFonts w:ascii="Verdana" w:eastAsia="Times New Roman" w:hAnsi="Verdana"/>
          <w:sz w:val="16"/>
          <w:szCs w:val="16"/>
          <w:lang w:val="fr-FR" w:eastAsia="fr-FR"/>
        </w:rPr>
        <w:t>).</w:t>
      </w:r>
    </w:p>
    <w:p w14:paraId="363A394E" w14:textId="77777777" w:rsidR="00A37766" w:rsidRPr="00E36DA3"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E36DA3">
        <w:rPr>
          <w:rFonts w:ascii="Verdana" w:eastAsia="Times New Roman" w:hAnsi="Verdana"/>
          <w:sz w:val="16"/>
          <w:szCs w:val="16"/>
          <w:lang w:val="fr-FR" w:eastAsia="fr-FR"/>
        </w:rPr>
        <w:t>Tenir adéquatement informées les personnes engagées, impliquées ou affectées.</w:t>
      </w:r>
    </w:p>
    <w:p w14:paraId="72B524F3" w14:textId="77777777" w:rsidR="00A37766" w:rsidRPr="00E36DA3"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Contribuer en particulier à des activités de problématisation et de </w:t>
      </w:r>
      <w:proofErr w:type="spellStart"/>
      <w:r w:rsidRPr="00E36DA3">
        <w:rPr>
          <w:rFonts w:ascii="Verdana" w:hAnsi="Verdana"/>
          <w:sz w:val="16"/>
          <w:szCs w:val="16"/>
        </w:rPr>
        <w:t>co</w:t>
      </w:r>
      <w:proofErr w:type="spellEnd"/>
      <w:r w:rsidRPr="00E36DA3">
        <w:rPr>
          <w:rFonts w:ascii="Verdana" w:hAnsi="Verdana"/>
          <w:sz w:val="16"/>
          <w:szCs w:val="16"/>
        </w:rPr>
        <w:t>-construction de solutions en interaction avec les acteurs impliqués</w:t>
      </w:r>
    </w:p>
    <w:p w14:paraId="2DE728BC" w14:textId="77777777" w:rsidR="00A37766"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Assurer une veille dans ses domaines d’expertise </w:t>
      </w:r>
    </w:p>
    <w:p w14:paraId="64931C2B" w14:textId="181274D0" w:rsidR="00B11D14" w:rsidRDefault="00A37766" w:rsidP="00A37766">
      <w:pPr>
        <w:numPr>
          <w:ilvl w:val="0"/>
          <w:numId w:val="23"/>
        </w:numPr>
        <w:spacing w:before="60" w:after="60" w:line="240" w:lineRule="auto"/>
        <w:ind w:right="113"/>
        <w:rPr>
          <w:rFonts w:ascii="Verdana" w:hAnsi="Verdana"/>
          <w:sz w:val="16"/>
          <w:szCs w:val="16"/>
        </w:rPr>
      </w:pPr>
      <w:r w:rsidRPr="00A37766">
        <w:rPr>
          <w:rFonts w:ascii="Verdana" w:hAnsi="Verdana"/>
          <w:sz w:val="16"/>
          <w:szCs w:val="16"/>
        </w:rPr>
        <w:t>Initier des projets de recherches participatives pour tester et mettre en œuvre de nouvelles dynamiques multi-acteurs d’intérêt pour le secteur et le CRA-W.</w:t>
      </w:r>
    </w:p>
    <w:p w14:paraId="1718121A" w14:textId="117B2E50" w:rsidR="00A37766" w:rsidRDefault="00A37766" w:rsidP="00A37766">
      <w:pPr>
        <w:spacing w:before="60" w:after="60" w:line="240" w:lineRule="auto"/>
        <w:ind w:right="113"/>
        <w:rPr>
          <w:rFonts w:ascii="Verdana" w:hAnsi="Verdana"/>
          <w:sz w:val="16"/>
          <w:szCs w:val="16"/>
        </w:rPr>
      </w:pPr>
    </w:p>
    <w:p w14:paraId="3DAC75C0" w14:textId="77777777" w:rsidR="00A37766" w:rsidRPr="00A37766" w:rsidRDefault="00A37766" w:rsidP="00A37766">
      <w:pPr>
        <w:spacing w:before="60" w:after="60" w:line="240" w:lineRule="auto"/>
        <w:ind w:right="113"/>
        <w:rPr>
          <w:rFonts w:ascii="Verdana" w:hAnsi="Verdana"/>
          <w:sz w:val="16"/>
          <w:szCs w:val="16"/>
        </w:rPr>
      </w:pPr>
    </w:p>
    <w:p w14:paraId="3E92230E" w14:textId="3E691EC4" w:rsidR="0096405B" w:rsidRPr="007501DA" w:rsidRDefault="0096405B" w:rsidP="0096405B">
      <w:pPr>
        <w:pStyle w:val="Titre2"/>
      </w:pPr>
      <w:r w:rsidRPr="007501DA">
        <w:t>… E</w:t>
      </w:r>
      <w:r>
        <w:t xml:space="preserve">T LES MISSIONS DE </w:t>
      </w:r>
      <w:r w:rsidR="00A37766">
        <w:t>l’unité systèmes agricoles</w:t>
      </w:r>
    </w:p>
    <w:p w14:paraId="4A2FA4D5" w14:textId="65A834DB" w:rsidR="00A97C84" w:rsidRPr="005728C3" w:rsidRDefault="00A37766">
      <w:pPr>
        <w:rPr>
          <w:rFonts w:ascii="Century Gothic" w:hAnsi="Century Gothic"/>
          <w:sz w:val="28"/>
          <w:szCs w:val="28"/>
        </w:rPr>
      </w:pPr>
      <w:r w:rsidRPr="0044256F">
        <w:rPr>
          <w:rFonts w:ascii="Verdana" w:hAnsi="Verdana"/>
          <w:sz w:val="16"/>
          <w:szCs w:val="16"/>
        </w:rPr>
        <w:t xml:space="preserve">L’objectif général de l’Unité est de </w:t>
      </w:r>
      <w:proofErr w:type="spellStart"/>
      <w:r w:rsidRPr="0044256F">
        <w:rPr>
          <w:rFonts w:ascii="Verdana" w:hAnsi="Verdana"/>
          <w:sz w:val="16"/>
          <w:szCs w:val="16"/>
        </w:rPr>
        <w:t>co</w:t>
      </w:r>
      <w:proofErr w:type="spellEnd"/>
      <w:r w:rsidRPr="0044256F">
        <w:rPr>
          <w:rFonts w:ascii="Verdana" w:hAnsi="Verdana"/>
          <w:sz w:val="16"/>
          <w:szCs w:val="16"/>
        </w:rPr>
        <w:t xml:space="preserve">-construire, avec les acteurs impliqués, la transition écologique de territoires et systèmes </w:t>
      </w:r>
      <w:proofErr w:type="spellStart"/>
      <w:r w:rsidRPr="0044256F">
        <w:rPr>
          <w:rFonts w:ascii="Verdana" w:hAnsi="Verdana"/>
          <w:sz w:val="16"/>
          <w:szCs w:val="16"/>
        </w:rPr>
        <w:t>agri-alimentaires</w:t>
      </w:r>
      <w:proofErr w:type="spellEnd"/>
      <w:r w:rsidRPr="0044256F">
        <w:rPr>
          <w:rFonts w:ascii="Verdana" w:hAnsi="Verdana"/>
          <w:sz w:val="16"/>
          <w:szCs w:val="16"/>
        </w:rPr>
        <w:t>, et d’objectiver le caractère durable des alternatives explorées par des approches holistiques et systémiques</w:t>
      </w:r>
    </w:p>
    <w:p w14:paraId="053AAE64" w14:textId="1EC72B0D" w:rsidR="0096405B" w:rsidRPr="00A73A41" w:rsidRDefault="0096405B" w:rsidP="0096405B">
      <w:pPr>
        <w:pStyle w:val="Titre2"/>
      </w:pPr>
      <w:r w:rsidRPr="00A73A41">
        <w:t xml:space="preserve">QUE FAIT UN </w:t>
      </w:r>
      <w:r w:rsidR="00A37766">
        <w:t xml:space="preserve">chercheur junior </w:t>
      </w:r>
      <w:r w:rsidRPr="00A73A41">
        <w:t xml:space="preserve">AU </w:t>
      </w:r>
      <w:r>
        <w:t>CRA-W</w:t>
      </w:r>
      <w:r w:rsidRPr="00A73A41">
        <w:t xml:space="preserve"> :</w:t>
      </w:r>
    </w:p>
    <w:p w14:paraId="24FFC65D" w14:textId="77777777" w:rsidR="00A37766" w:rsidRPr="00A37766" w:rsidRDefault="00A37766" w:rsidP="00A37766">
      <w:pPr>
        <w:pStyle w:val="Paragraphedeliste"/>
        <w:numPr>
          <w:ilvl w:val="0"/>
          <w:numId w:val="24"/>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Construction de projets de recherche et/ou d'expérimentation (définition du projet, élaboration de la méthodologie et des </w:t>
      </w:r>
      <w:proofErr w:type="gramStart"/>
      <w:r w:rsidRPr="00A37766">
        <w:rPr>
          <w:rFonts w:ascii="Verdana" w:hAnsi="Verdana" w:cs="Verdana"/>
          <w:color w:val="000000"/>
          <w:sz w:val="16"/>
          <w:szCs w:val="16"/>
          <w:lang w:eastAsia="fr-BE"/>
        </w:rPr>
        <w:t>étapes,...</w:t>
      </w:r>
      <w:proofErr w:type="gramEnd"/>
      <w:r w:rsidRPr="00A37766">
        <w:rPr>
          <w:rFonts w:ascii="Verdana" w:hAnsi="Verdana" w:cs="Verdana"/>
          <w:color w:val="000000"/>
          <w:sz w:val="16"/>
          <w:szCs w:val="16"/>
          <w:lang w:eastAsia="fr-BE"/>
        </w:rPr>
        <w:t xml:space="preserve">) </w:t>
      </w:r>
    </w:p>
    <w:p w14:paraId="0369B6BB" w14:textId="5FD9CA87"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Réalisation de projets de recherche et/ou d'expérimentation (mise en </w:t>
      </w:r>
      <w:proofErr w:type="spellStart"/>
      <w:r w:rsidRPr="00A37766">
        <w:rPr>
          <w:rFonts w:ascii="Verdana" w:hAnsi="Verdana" w:cs="Verdana"/>
          <w:color w:val="000000"/>
          <w:sz w:val="16"/>
          <w:szCs w:val="16"/>
          <w:lang w:eastAsia="fr-BE"/>
        </w:rPr>
        <w:t>oeuvre</w:t>
      </w:r>
      <w:proofErr w:type="spellEnd"/>
      <w:r w:rsidRPr="00A37766">
        <w:rPr>
          <w:rFonts w:ascii="Verdana" w:hAnsi="Verdana" w:cs="Verdana"/>
          <w:color w:val="000000"/>
          <w:sz w:val="16"/>
          <w:szCs w:val="16"/>
          <w:lang w:eastAsia="fr-BE"/>
        </w:rPr>
        <w:t xml:space="preserve"> des étapes, exploitation des données, interprétation des </w:t>
      </w:r>
      <w:proofErr w:type="gramStart"/>
      <w:r w:rsidRPr="00A37766">
        <w:rPr>
          <w:rFonts w:ascii="Verdana" w:hAnsi="Verdana" w:cs="Verdana"/>
          <w:color w:val="000000"/>
          <w:sz w:val="16"/>
          <w:szCs w:val="16"/>
          <w:lang w:eastAsia="fr-BE"/>
        </w:rPr>
        <w:t>résultats,...</w:t>
      </w:r>
      <w:proofErr w:type="gramEnd"/>
      <w:r w:rsidRPr="00A37766">
        <w:rPr>
          <w:rFonts w:ascii="Verdana" w:hAnsi="Verdana" w:cs="Verdana"/>
          <w:color w:val="000000"/>
          <w:sz w:val="16"/>
          <w:szCs w:val="16"/>
          <w:lang w:eastAsia="fr-BE"/>
        </w:rPr>
        <w:t xml:space="preserve">) </w:t>
      </w:r>
    </w:p>
    <w:p w14:paraId="0993C85A" w14:textId="1BF3BF6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Diffusion et valorisation des résultats (rédaction de rapports et de publications, élaboration de communications </w:t>
      </w:r>
      <w:proofErr w:type="gramStart"/>
      <w:r w:rsidRPr="00A37766">
        <w:rPr>
          <w:rFonts w:ascii="Verdana" w:hAnsi="Verdana" w:cs="Verdana"/>
          <w:color w:val="000000"/>
          <w:sz w:val="16"/>
          <w:szCs w:val="16"/>
          <w:lang w:eastAsia="fr-BE"/>
        </w:rPr>
        <w:t>scientifiques,...</w:t>
      </w:r>
      <w:proofErr w:type="gramEnd"/>
      <w:r w:rsidRPr="00A37766">
        <w:rPr>
          <w:rFonts w:ascii="Verdana" w:hAnsi="Verdana" w:cs="Verdana"/>
          <w:color w:val="000000"/>
          <w:sz w:val="16"/>
          <w:szCs w:val="16"/>
          <w:lang w:eastAsia="fr-BE"/>
        </w:rPr>
        <w:t xml:space="preserve">) </w:t>
      </w:r>
    </w:p>
    <w:p w14:paraId="0579E2D1" w14:textId="588066ED"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Wingdings"/>
          <w:color w:val="000000"/>
          <w:sz w:val="16"/>
          <w:szCs w:val="16"/>
          <w:lang w:eastAsia="fr-BE"/>
        </w:rPr>
        <w:t xml:space="preserve">Acquisition et développement de connaissances et de compétences nécessaires aux activités scientifiques </w:t>
      </w:r>
    </w:p>
    <w:p w14:paraId="2FFF0F4B" w14:textId="655531C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Assistance au directeur dans la gestion quotidienne du travail de l’équipe technique affectée à ses projets et/ou ses expérimentations </w:t>
      </w:r>
    </w:p>
    <w:p w14:paraId="66FA7FE5" w14:textId="2AE3B8A1"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Gestion des équipements et des consommables utilisés dans ses projets de recherche et/ou ses expérimentations </w:t>
      </w:r>
    </w:p>
    <w:p w14:paraId="46FC9702" w14:textId="77777777" w:rsidR="00A97C84" w:rsidRPr="005728C3" w:rsidRDefault="00A97C84">
      <w:pPr>
        <w:rPr>
          <w:rFonts w:ascii="Century Gothic" w:hAnsi="Century Gothic"/>
          <w:sz w:val="28"/>
          <w:szCs w:val="28"/>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77777777"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4C4E4AA5" w14:textId="65B03294" w:rsidR="00514896" w:rsidRDefault="000209F8" w:rsidP="00CD1452">
      <w:pPr>
        <w:pStyle w:val="Paragraphedeliste"/>
        <w:numPr>
          <w:ilvl w:val="0"/>
          <w:numId w:val="17"/>
        </w:numPr>
        <w:rPr>
          <w:rFonts w:ascii="Century Gothic" w:hAnsi="Century Gothic"/>
          <w:sz w:val="24"/>
          <w:szCs w:val="24"/>
        </w:rPr>
      </w:pPr>
      <w:proofErr w:type="gramStart"/>
      <w:r>
        <w:rPr>
          <w:rFonts w:ascii="Century Gothic" w:hAnsi="Century Gothic"/>
          <w:sz w:val="24"/>
          <w:szCs w:val="24"/>
        </w:rPr>
        <w:t>tout</w:t>
      </w:r>
      <w:proofErr w:type="gramEnd"/>
      <w:r>
        <w:rPr>
          <w:rFonts w:ascii="Century Gothic" w:hAnsi="Century Gothic"/>
          <w:sz w:val="24"/>
          <w:szCs w:val="24"/>
        </w:rPr>
        <w:t xml:space="preserve"> master</w:t>
      </w:r>
    </w:p>
    <w:p w14:paraId="07B035C4" w14:textId="54CD8170" w:rsidR="00140617" w:rsidRPr="00140617" w:rsidRDefault="00140617" w:rsidP="00CD1452">
      <w:pPr>
        <w:pStyle w:val="Paragraphedeliste"/>
        <w:numPr>
          <w:ilvl w:val="0"/>
          <w:numId w:val="17"/>
        </w:numPr>
        <w:rPr>
          <w:rFonts w:ascii="Century Gothic" w:hAnsi="Century Gothic"/>
          <w:sz w:val="24"/>
          <w:szCs w:val="24"/>
        </w:rPr>
      </w:pPr>
      <w:r w:rsidRPr="00140617">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30E460B9" w14:textId="667EFB4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Gestion de projets – Identifier les acteurs, les outils méthodologiques, les ressources nécessaires et les risques potentiels inhérents à un projet, le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et en gérer les différentes phases de vie </w:t>
            </w:r>
          </w:p>
          <w:p w14:paraId="445F5B85" w14:textId="09F1F6B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Technique professionnelle –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les méthodes et/ou les techniques propres à la matière </w:t>
            </w:r>
          </w:p>
          <w:p w14:paraId="1946CDA4" w14:textId="043BAC53"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Avis technique – Emettre des avis techniques argumentés et pertinents </w:t>
            </w:r>
          </w:p>
          <w:p w14:paraId="4C4BDBA1" w14:textId="51E12CB0"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Vulgarisation – Adapter des notions, des termes techniques ou scientifiques de manière à les rendre accessibles à un public non spécialisé </w:t>
            </w:r>
          </w:p>
          <w:p w14:paraId="15357B2B" w14:textId="11A2FC41"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Dispositions légales et normatives – Appliquer et faire respecter les dispositions légales, les procédures, les normes et/ou les réglementations en vigueur </w:t>
            </w:r>
          </w:p>
          <w:p w14:paraId="0015A038" w14:textId="7D974FFC" w:rsidR="00D607F4" w:rsidRPr="00132CB9" w:rsidRDefault="00D607F4" w:rsidP="00A37766">
            <w:pPr>
              <w:pStyle w:val="Sansinterligne"/>
              <w:numPr>
                <w:ilvl w:val="0"/>
                <w:numId w:val="0"/>
              </w:numPr>
              <w:ind w:left="284"/>
              <w:rPr>
                <w:rFonts w:ascii="Nunito Sans" w:hAnsi="Nunito Sans"/>
              </w:rPr>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73224CD6"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Bonnes connaissances et capacités à mettre en œuvre différentes pratiques phyto et zootechniques en vue d’explorer les possibles avec les agriculteurs en transition et d’objectiver leurs performances quant aux buts recherchés</w:t>
            </w:r>
          </w:p>
          <w:p w14:paraId="05EAA422"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Capacité à valoriser, communiquer et mettre en débat les données issues des différentes recherches menées via des publications scientifiques et techniques</w:t>
            </w:r>
          </w:p>
          <w:p w14:paraId="15A75F88"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Une bonne connaissance des systèmes agricoles et de leur fonctionnement </w:t>
            </w:r>
          </w:p>
          <w:p w14:paraId="51089A34"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Capacité à mener et contribuer à des projets de recherche multidisciplinaires mobilisant des approches systémiques et holistiques </w:t>
            </w:r>
          </w:p>
          <w:p w14:paraId="5210A6C3"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Adopter une posture de courtier en innovation (innovation broker)</w:t>
            </w:r>
          </w:p>
          <w:p w14:paraId="63DA79EE" w14:textId="77777777" w:rsidR="00A37766" w:rsidRPr="00A37766" w:rsidRDefault="00A37766" w:rsidP="00A37766">
            <w:pPr>
              <w:pStyle w:val="Sansinterligne"/>
              <w:numPr>
                <w:ilvl w:val="0"/>
                <w:numId w:val="27"/>
              </w:numPr>
              <w:ind w:left="426"/>
              <w:rPr>
                <w:rFonts w:ascii="Verdana" w:hAnsi="Verdana"/>
                <w:b/>
                <w:i/>
                <w:sz w:val="16"/>
                <w:szCs w:val="16"/>
                <w:lang w:val="fr-FR"/>
              </w:rPr>
            </w:pPr>
            <w:r w:rsidRPr="00A37766">
              <w:rPr>
                <w:rFonts w:ascii="Verdana" w:hAnsi="Verdana"/>
                <w:sz w:val="16"/>
                <w:szCs w:val="16"/>
                <w:lang w:val="fr-FR"/>
              </w:rPr>
              <w:t>Aptitude à la rédaction de rapports d’activités et de publications scientifiques</w:t>
            </w:r>
          </w:p>
          <w:p w14:paraId="4F84794D"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montage et coordination de projets</w:t>
            </w:r>
          </w:p>
          <w:p w14:paraId="282E50A5"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gestion d’équipe et encadrement de jeunes chercheurs</w:t>
            </w:r>
          </w:p>
          <w:p w14:paraId="1BE07B88" w14:textId="77777777" w:rsidR="00D607F4" w:rsidRPr="00132CB9" w:rsidRDefault="00D607F4" w:rsidP="00A37766">
            <w:pPr>
              <w:pStyle w:val="Sansinterligne"/>
            </w:pPr>
          </w:p>
        </w:tc>
      </w:tr>
    </w:tbl>
    <w:p w14:paraId="0EDDC3DE" w14:textId="540818FA" w:rsidR="00D607F4" w:rsidRPr="005728C3"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142CBA" w:rsidRDefault="00D607F4" w:rsidP="00093945">
            <w:pPr>
              <w:rPr>
                <w:b/>
                <w:bCs/>
              </w:rPr>
            </w:pPr>
          </w:p>
          <w:p w14:paraId="130319BD" w14:textId="7D982D6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lastRenderedPageBreak/>
              <w:t xml:space="preserve">Assertivité – Défendre un point de vue ou l’application d’une règle par un échange positif en préservant la qualité des relations professionnelles </w:t>
            </w:r>
          </w:p>
          <w:p w14:paraId="78FF34E8" w14:textId="5A24368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Rigueur – Réaliser son travail avec exactitude, méthode et précision </w:t>
            </w:r>
          </w:p>
          <w:p w14:paraId="719DB2E5" w14:textId="1BCDDF1D"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Créativité – Adapter les méthodes et les approches actuelles de façon novatrice ou en concevoir de nouvelles </w:t>
            </w:r>
          </w:p>
          <w:p w14:paraId="49E4FCE4" w14:textId="633E3840"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Travailler en équipe – Créer et améliorer l’esprit d’équipe en partageant ses avis et ses idées et en contribuant à la résolution de conflits entre collègues </w:t>
            </w:r>
          </w:p>
          <w:p w14:paraId="70C6A0D9" w14:textId="7404DCF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Synthèse – Avoir une vue d’ensemble d’un problème et pouvoir en résumer les points essentiels </w:t>
            </w:r>
          </w:p>
          <w:p w14:paraId="40AE97F1" w14:textId="04502E0B" w:rsidR="00D607F4" w:rsidRPr="00132CB9" w:rsidRDefault="00D607F4" w:rsidP="00A37766">
            <w:pPr>
              <w:pStyle w:val="Sansinterligne"/>
              <w:numPr>
                <w:ilvl w:val="0"/>
                <w:numId w:val="0"/>
              </w:numPr>
              <w:ind w:left="284"/>
              <w:rPr>
                <w:rFonts w:ascii="Nunito Sans" w:hAnsi="Nunito Sans"/>
              </w:rPr>
            </w:pP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21FA7A2B" w14:textId="77777777" w:rsidR="00A37766" w:rsidRPr="002E2435" w:rsidRDefault="00A37766" w:rsidP="00A37766">
            <w:pPr>
              <w:pStyle w:val="Sansinterligne"/>
              <w:rPr>
                <w:lang w:val="fr-FR"/>
              </w:rPr>
            </w:pPr>
            <w:r w:rsidRPr="002E2435">
              <w:rPr>
                <w:lang w:val="fr-FR"/>
              </w:rPr>
              <w:lastRenderedPageBreak/>
              <w:t>Capacité de s’intégrer au sein d’une équipe de recherche existante</w:t>
            </w:r>
          </w:p>
          <w:p w14:paraId="212D7D8B" w14:textId="77777777" w:rsidR="00A37766" w:rsidRPr="002E2435" w:rsidRDefault="00A37766" w:rsidP="00A37766">
            <w:pPr>
              <w:pStyle w:val="Sansinterligne"/>
              <w:rPr>
                <w:lang w:val="fr-FR"/>
              </w:rPr>
            </w:pPr>
            <w:r w:rsidRPr="002E2435">
              <w:rPr>
                <w:lang w:val="fr-FR"/>
              </w:rPr>
              <w:t>Capacité d’être à l’écoute et au service des collègues</w:t>
            </w:r>
          </w:p>
          <w:p w14:paraId="693600A1" w14:textId="77777777" w:rsidR="00A37766" w:rsidRPr="002E2435" w:rsidRDefault="00A37766" w:rsidP="00A37766">
            <w:pPr>
              <w:pStyle w:val="Sansinterligne"/>
              <w:rPr>
                <w:lang w:val="fr-FR"/>
              </w:rPr>
            </w:pPr>
            <w:r w:rsidRPr="002E2435">
              <w:rPr>
                <w:lang w:val="fr-FR"/>
              </w:rPr>
              <w:t>Capacité de gérer simultanément plusieurs projets de recherche</w:t>
            </w:r>
          </w:p>
          <w:p w14:paraId="57C31719" w14:textId="77777777" w:rsidR="00A37766" w:rsidRPr="002E2435" w:rsidRDefault="00A37766" w:rsidP="00A37766">
            <w:pPr>
              <w:pStyle w:val="Sansinterligne"/>
              <w:rPr>
                <w:lang w:val="fr-FR"/>
              </w:rPr>
            </w:pPr>
            <w:r w:rsidRPr="002E2435">
              <w:rPr>
                <w:lang w:val="fr-FR"/>
              </w:rPr>
              <w:t>Aptitude à encadrer des étudiants lors de leur travail de fin d’étude</w:t>
            </w:r>
          </w:p>
          <w:p w14:paraId="725A0886" w14:textId="77777777" w:rsidR="00A37766" w:rsidRPr="002E2435" w:rsidRDefault="00A37766" w:rsidP="00A37766">
            <w:pPr>
              <w:pStyle w:val="Sansinterligne"/>
              <w:rPr>
                <w:lang w:val="fr-FR"/>
              </w:rPr>
            </w:pPr>
            <w:r w:rsidRPr="002E2435">
              <w:rPr>
                <w:lang w:val="fr-FR"/>
              </w:rPr>
              <w:t>Capacité didactique</w:t>
            </w:r>
          </w:p>
          <w:p w14:paraId="0305F2D8" w14:textId="77777777" w:rsidR="00A37766" w:rsidRPr="002E2435" w:rsidRDefault="00A37766" w:rsidP="00A37766">
            <w:pPr>
              <w:pStyle w:val="Sansinterligne"/>
              <w:rPr>
                <w:lang w:val="fr-FR"/>
              </w:rPr>
            </w:pPr>
            <w:r w:rsidRPr="002E2435">
              <w:rPr>
                <w:lang w:val="fr-FR"/>
              </w:rPr>
              <w:t xml:space="preserve">Aisance dans la présentation des résultats des travaux de recherche à un publique scientifique </w:t>
            </w:r>
          </w:p>
          <w:p w14:paraId="16420D2E" w14:textId="77777777" w:rsidR="00A37766" w:rsidRPr="002E2435" w:rsidRDefault="00A37766" w:rsidP="00A37766">
            <w:pPr>
              <w:pStyle w:val="Sansinterligne"/>
              <w:rPr>
                <w:lang w:val="fr-FR"/>
              </w:rPr>
            </w:pPr>
            <w:r w:rsidRPr="002E2435">
              <w:rPr>
                <w:lang w:val="fr-FR"/>
              </w:rPr>
              <w:t>Capacité de vulgarisation</w:t>
            </w:r>
          </w:p>
          <w:p w14:paraId="7F0066D7" w14:textId="77777777" w:rsidR="00A37766" w:rsidRPr="002E2435" w:rsidRDefault="00A37766" w:rsidP="00A37766">
            <w:pPr>
              <w:pStyle w:val="Sansinterligne"/>
              <w:rPr>
                <w:b/>
                <w:i/>
                <w:lang w:val="fr-FR"/>
              </w:rPr>
            </w:pPr>
            <w:r w:rsidRPr="002E2435">
              <w:rPr>
                <w:lang w:val="fr-FR"/>
              </w:rPr>
              <w:t>Capacité à assurer le suivi des activités et à contrôler la qualité du travail réalisé</w:t>
            </w:r>
          </w:p>
          <w:p w14:paraId="4D7641BD" w14:textId="77777777" w:rsidR="00A37766" w:rsidRPr="002E2435" w:rsidRDefault="00A37766" w:rsidP="00A37766">
            <w:pPr>
              <w:pStyle w:val="Sansinterligne"/>
              <w:rPr>
                <w:b/>
                <w:i/>
                <w:lang w:val="fr-FR"/>
              </w:rPr>
            </w:pPr>
            <w:r w:rsidRPr="002E2435">
              <w:rPr>
                <w:lang w:val="fr-FR"/>
              </w:rPr>
              <w:t>Prise d’initiatives : anticiper les difficultés et les problèmes potentiels</w:t>
            </w:r>
          </w:p>
          <w:p w14:paraId="4CC4BE69" w14:textId="77777777" w:rsidR="00A37766" w:rsidRPr="002E2435" w:rsidRDefault="00A37766" w:rsidP="00A37766">
            <w:pPr>
              <w:pStyle w:val="Sansinterligne"/>
              <w:rPr>
                <w:b/>
                <w:i/>
                <w:lang w:val="fr-FR"/>
              </w:rPr>
            </w:pPr>
            <w:r w:rsidRPr="002E2435">
              <w:rPr>
                <w:lang w:val="fr-FR"/>
              </w:rPr>
              <w:t>Collaboration avec des acteurs internes et/ou externes en favorisant les échanges et en étant attentif aux objectifs communs</w:t>
            </w:r>
          </w:p>
          <w:p w14:paraId="5A30FAB2" w14:textId="32C99850" w:rsidR="00D607F4" w:rsidRPr="00132CB9" w:rsidRDefault="00A37766" w:rsidP="00A37766">
            <w:pPr>
              <w:pStyle w:val="Sansinterligne"/>
              <w:rPr>
                <w:rFonts w:ascii="Nunito Sans" w:hAnsi="Nunito Sans"/>
              </w:rPr>
            </w:pPr>
            <w:r w:rsidRPr="002E2435">
              <w:rPr>
                <w:lang w:val="fr-FR"/>
              </w:rPr>
              <w:t>Travailler dans le cadre d’un système qualité</w:t>
            </w: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t>Conditions d’accès au poste</w:t>
      </w:r>
    </w:p>
    <w:p w14:paraId="48786AFF" w14:textId="6E7EA73C" w:rsidR="00CD1452" w:rsidRPr="00804A50" w:rsidRDefault="00A37766" w:rsidP="00804A50">
      <w:pPr>
        <w:pStyle w:val="Paragraphedeliste"/>
        <w:numPr>
          <w:ilvl w:val="0"/>
          <w:numId w:val="19"/>
        </w:numPr>
        <w:rPr>
          <w:rFonts w:ascii="Century Gothic" w:hAnsi="Century Gothic"/>
          <w:sz w:val="24"/>
          <w:szCs w:val="24"/>
        </w:rPr>
      </w:pPr>
      <w:proofErr w:type="gramStart"/>
      <w:r>
        <w:rPr>
          <w:rFonts w:ascii="Century Gothic" w:hAnsi="Century Gothic"/>
          <w:sz w:val="24"/>
          <w:szCs w:val="24"/>
        </w:rPr>
        <w:t>néant</w:t>
      </w:r>
      <w:proofErr w:type="gramEnd"/>
    </w:p>
    <w:p w14:paraId="4EADA1C3" w14:textId="77777777" w:rsidR="00A97C84" w:rsidRPr="005728C3" w:rsidRDefault="00A97C84">
      <w:pPr>
        <w:rPr>
          <w:rFonts w:ascii="Century Gothic" w:hAnsi="Century Gothic"/>
          <w:b/>
        </w:rPr>
      </w:pP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5B992E33"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9-29T00:00:00Z">
            <w:dateFormat w:val="dd-MM-yy"/>
            <w:lid w:val="fr-BE"/>
            <w:storeMappedDataAs w:val="dateTime"/>
            <w:calendar w:val="gregorian"/>
          </w:date>
        </w:sdtPr>
        <w:sdtEndPr>
          <w:rPr>
            <w:rStyle w:val="Style4"/>
          </w:rPr>
        </w:sdtEndPr>
        <w:sdtContent>
          <w:r w:rsidR="00EE682D">
            <w:rPr>
              <w:rStyle w:val="Style4"/>
            </w:rPr>
            <w:t>29-09-22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2"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55936D91"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A37766">
        <w:rPr>
          <w:rFonts w:ascii="Century Gothic" w:eastAsia="Times New Roman" w:hAnsi="Century Gothic" w:cs="Times New Roman"/>
          <w:b/>
          <w:bCs/>
          <w:sz w:val="24"/>
          <w:szCs w:val="24"/>
          <w:lang w:eastAsia="fr-BE"/>
        </w:rPr>
        <w:t>RC0308AS10</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0" w:name="_Hlk85116239"/>
    </w:p>
    <w:bookmarkEnd w:id="0"/>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lastRenderedPageBreak/>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Les dossiers de candidature feront l’objet d’un premier examen par la commission de sélection, destiné à vérifier que les personnes 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w:t>
      </w:r>
      <w:r w:rsidRPr="00350154">
        <w:rPr>
          <w:rFonts w:ascii="Century Gothic" w:eastAsia="Times New Roman" w:hAnsi="Century Gothic" w:cs="Times New Roman"/>
          <w:sz w:val="26"/>
          <w:szCs w:val="26"/>
          <w:lang w:eastAsia="fr-BE"/>
        </w:rPr>
        <w:lastRenderedPageBreak/>
        <w:t>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4"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E2FB2EF" w14:textId="4307CA09" w:rsidR="00D701BD" w:rsidRDefault="00D701BD" w:rsidP="00D701BD">
      <w:pPr>
        <w:shd w:val="clear" w:color="auto" w:fill="FFFFFF"/>
        <w:spacing w:line="360" w:lineRule="auto"/>
        <w:jc w:val="both"/>
        <w:rPr>
          <w:rFonts w:ascii="Century Gothic" w:hAnsi="Century Gothic" w:cs="Arial"/>
          <w:sz w:val="24"/>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à durée déte</w:t>
      </w:r>
      <w:r w:rsidR="00A92B2E">
        <w:rPr>
          <w:rStyle w:val="Style2"/>
        </w:rPr>
        <w:t>rminée de 12</w:t>
      </w:r>
      <w:r w:rsidR="00D607F4">
        <w:rPr>
          <w:rStyle w:val="Style2"/>
        </w:rPr>
        <w:t xml:space="preserve"> mois renouvelable</w:t>
      </w:r>
    </w:p>
    <w:p w14:paraId="5D625C73" w14:textId="6603B6FF" w:rsidR="00140617" w:rsidRPr="00120930" w:rsidRDefault="00140617" w:rsidP="00140617">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bénéficierez du barème  </w:t>
      </w:r>
      <w:sdt>
        <w:sdtPr>
          <w:rPr>
            <w:rStyle w:val="Style1"/>
          </w:rPr>
          <w:id w:val="-821041839"/>
          <w:placeholder>
            <w:docPart w:val="9C3C2D3626864DBD9279CAF52342C1C0"/>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Pr>
              <w:rStyle w:val="Style1"/>
            </w:rPr>
            <w:t xml:space="preserve">A6/1 (à partir de 39.786,28 € annuel brut indexé) </w:t>
          </w:r>
        </w:sdtContent>
      </w:sdt>
      <w:r w:rsidRPr="00120930">
        <w:rPr>
          <w:rFonts w:ascii="Century Gothic" w:hAnsi="Century Gothic" w:cs="Arial"/>
          <w:sz w:val="24"/>
          <w:szCs w:val="24"/>
        </w:rPr>
        <w:t xml:space="preserve">, </w:t>
      </w:r>
      <w:r w:rsidRPr="00A37766">
        <w:rPr>
          <w:rFonts w:ascii="Century Gothic" w:hAnsi="Century Gothic" w:cs="Arial"/>
          <w:color w:val="FF0000"/>
          <w:sz w:val="24"/>
          <w:szCs w:val="24"/>
        </w:rPr>
        <w:t>ou de l’échelle A6Sc s</w:t>
      </w:r>
      <w:r>
        <w:rPr>
          <w:rFonts w:ascii="Century Gothic" w:hAnsi="Century Gothic" w:cs="Arial"/>
          <w:color w:val="FF0000"/>
          <w:sz w:val="24"/>
          <w:szCs w:val="24"/>
        </w:rPr>
        <w:t>i vous possédez un doctorat ( 50.163,75</w:t>
      </w:r>
      <w:r w:rsidRPr="00A37766">
        <w:rPr>
          <w:rFonts w:ascii="Century Gothic" w:hAnsi="Century Gothic" w:cs="Arial"/>
          <w:color w:val="FF0000"/>
          <w:sz w:val="24"/>
          <w:szCs w:val="24"/>
        </w:rPr>
        <w:t xml:space="preserve"> euros</w:t>
      </w:r>
      <w:r>
        <w:rPr>
          <w:rFonts w:ascii="Century Gothic" w:hAnsi="Century Gothic" w:cs="Arial"/>
          <w:color w:val="FF0000"/>
          <w:sz w:val="24"/>
          <w:szCs w:val="24"/>
        </w:rPr>
        <w:t xml:space="preserve"> annuel brut indexé</w:t>
      </w:r>
      <w:r w:rsidRPr="00A37766">
        <w:rPr>
          <w:rFonts w:ascii="Century Gothic" w:hAnsi="Century Gothic" w:cs="Arial"/>
          <w:color w:val="FF0000"/>
          <w:sz w:val="24"/>
          <w:szCs w:val="24"/>
        </w:rPr>
        <w:t>)</w:t>
      </w:r>
      <w:r>
        <w:rPr>
          <w:rFonts w:ascii="Century Gothic" w:hAnsi="Century Gothic" w:cs="Arial"/>
          <w:sz w:val="24"/>
          <w:szCs w:val="24"/>
        </w:rPr>
        <w:t xml:space="preserve"> </w:t>
      </w:r>
      <w:r w:rsidRPr="00120930">
        <w:rPr>
          <w:rFonts w:ascii="Century Gothic" w:hAnsi="Century Gothic" w:cs="Arial"/>
          <w:sz w:val="24"/>
          <w:szCs w:val="24"/>
        </w:rPr>
        <w:t>avec possibilité de valoriser l’ancienneté acquise dans le secteur privé (maximum 6 années)</w:t>
      </w:r>
      <w:bookmarkStart w:id="1" w:name="_GoBack"/>
      <w:bookmarkEnd w:id="1"/>
      <w:r w:rsidRPr="00120930">
        <w:rPr>
          <w:rFonts w:ascii="Century Gothic" w:hAnsi="Century Gothic" w:cs="Arial"/>
          <w:sz w:val="24"/>
          <w:szCs w:val="24"/>
        </w:rPr>
        <w:t xml:space="preserve"> et dans le secteur public (toutes les années sont prises en compte). </w:t>
      </w: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41D4FC90" w:rsidR="00DE1D87"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Monsieur Didier STILMANT</w:t>
      </w:r>
    </w:p>
    <w:p w14:paraId="29AF59D4" w14:textId="1F8AFE4F" w:rsid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Chef du Département Durabilité, systèmes et prospectives</w:t>
      </w:r>
    </w:p>
    <w:p w14:paraId="0D465E54" w14:textId="4F3426BF" w:rsidR="00D607F4" w:rsidRP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s.stilmant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311A55AA" w:rsidR="00D607F4" w:rsidRPr="00D607F4" w:rsidRDefault="00D607F4" w:rsidP="00D607F4">
      <w:pPr>
        <w:pStyle w:val="Paragraphedeliste"/>
        <w:numPr>
          <w:ilvl w:val="0"/>
          <w:numId w:val="16"/>
        </w:numPr>
        <w:rPr>
          <w:rFonts w:ascii="Century Gothic" w:hAnsi="Century Gothic"/>
          <w:sz w:val="24"/>
          <w:szCs w:val="24"/>
        </w:rPr>
      </w:pPr>
      <w:r>
        <w:rPr>
          <w:rFonts w:ascii="Century Gothic" w:hAnsi="Century Gothic"/>
          <w:sz w:val="24"/>
          <w:szCs w:val="24"/>
        </w:rPr>
        <w:t>C.brunelli</w:t>
      </w:r>
      <w:r w:rsidRPr="00D607F4">
        <w:rPr>
          <w:rFonts w:ascii="Century Gothic" w:hAnsi="Century Gothic"/>
          <w:color w:val="808080" w:themeColor="background1" w:themeShade="80"/>
          <w:sz w:val="24"/>
          <w:szCs w:val="24"/>
        </w:rPr>
        <w:t>@cra</w:t>
      </w:r>
      <w:r>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xml:space="preserve">Votre candidature peut être posée selon les modalités habituelles aux examens de recrutement organisés par les différents services publics. Toutefois, pour les examens organisés par le SELOR (Bureau de sélection de </w:t>
      </w:r>
      <w:r w:rsidRPr="00741CD6">
        <w:rPr>
          <w:rFonts w:ascii="Century Gothic" w:eastAsia="Times New Roman" w:hAnsi="Century Gothic" w:cs="Segoe UI"/>
          <w:color w:val="1C1C1B"/>
          <w:sz w:val="24"/>
          <w:szCs w:val="24"/>
          <w:lang w:eastAsia="fr-BE"/>
        </w:rPr>
        <w:lastRenderedPageBreak/>
        <w:t>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1"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23035F9D"/>
    <w:multiLevelType w:val="hybridMultilevel"/>
    <w:tmpl w:val="B04CFC68"/>
    <w:lvl w:ilvl="0" w:tplc="447CDBCA">
      <w:start w:val="1"/>
      <w:numFmt w:val="bullet"/>
      <w:lvlText w:val="-"/>
      <w:lvlJc w:val="left"/>
      <w:pPr>
        <w:ind w:left="720" w:hanging="360"/>
      </w:pPr>
      <w:rPr>
        <w:rFonts w:ascii="Times New Roman" w:hAnsi="Times New Roman" w:cs="Times New Roman" w:hint="default"/>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9"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C733DF"/>
    <w:multiLevelType w:val="hybridMultilevel"/>
    <w:tmpl w:val="79F8C0A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3"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126130"/>
    <w:multiLevelType w:val="hybridMultilevel"/>
    <w:tmpl w:val="881C440A"/>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F54DD5"/>
    <w:multiLevelType w:val="hybridMultilevel"/>
    <w:tmpl w:val="66F2DA5C"/>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3E92136"/>
    <w:multiLevelType w:val="hybridMultilevel"/>
    <w:tmpl w:val="BB9E23A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00A22"/>
    <w:multiLevelType w:val="hybridMultilevel"/>
    <w:tmpl w:val="BA665D78"/>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28"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4A2880"/>
    <w:multiLevelType w:val="hybridMultilevel"/>
    <w:tmpl w:val="F5127E06"/>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2"/>
  </w:num>
  <w:num w:numId="5">
    <w:abstractNumId w:val="22"/>
  </w:num>
  <w:num w:numId="6">
    <w:abstractNumId w:val="27"/>
  </w:num>
  <w:num w:numId="7">
    <w:abstractNumId w:val="20"/>
  </w:num>
  <w:num w:numId="8">
    <w:abstractNumId w:val="5"/>
  </w:num>
  <w:num w:numId="9">
    <w:abstractNumId w:val="28"/>
  </w:num>
  <w:num w:numId="10">
    <w:abstractNumId w:val="6"/>
  </w:num>
  <w:num w:numId="11">
    <w:abstractNumId w:val="23"/>
  </w:num>
  <w:num w:numId="12">
    <w:abstractNumId w:val="4"/>
  </w:num>
  <w:num w:numId="13">
    <w:abstractNumId w:val="13"/>
  </w:num>
  <w:num w:numId="14">
    <w:abstractNumId w:val="24"/>
  </w:num>
  <w:num w:numId="15">
    <w:abstractNumId w:val="11"/>
  </w:num>
  <w:num w:numId="16">
    <w:abstractNumId w:val="3"/>
  </w:num>
  <w:num w:numId="17">
    <w:abstractNumId w:val="19"/>
  </w:num>
  <w:num w:numId="18">
    <w:abstractNumId w:val="18"/>
  </w:num>
  <w:num w:numId="19">
    <w:abstractNumId w:val="25"/>
  </w:num>
  <w:num w:numId="20">
    <w:abstractNumId w:val="12"/>
  </w:num>
  <w:num w:numId="21">
    <w:abstractNumId w:val="9"/>
  </w:num>
  <w:num w:numId="22">
    <w:abstractNumId w:val="1"/>
  </w:num>
  <w:num w:numId="23">
    <w:abstractNumId w:val="15"/>
  </w:num>
  <w:num w:numId="24">
    <w:abstractNumId w:val="21"/>
  </w:num>
  <w:num w:numId="25">
    <w:abstractNumId w:val="10"/>
  </w:num>
  <w:num w:numId="26">
    <w:abstractNumId w:val="0"/>
  </w:num>
  <w:num w:numId="27">
    <w:abstractNumId w:val="7"/>
  </w:num>
  <w:num w:numId="28">
    <w:abstractNumId w:val="29"/>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209F8"/>
    <w:rsid w:val="00030F39"/>
    <w:rsid w:val="0003640A"/>
    <w:rsid w:val="00041234"/>
    <w:rsid w:val="000612D3"/>
    <w:rsid w:val="000643B0"/>
    <w:rsid w:val="00091547"/>
    <w:rsid w:val="00094425"/>
    <w:rsid w:val="000A7472"/>
    <w:rsid w:val="000B3974"/>
    <w:rsid w:val="000E06FC"/>
    <w:rsid w:val="000F6847"/>
    <w:rsid w:val="00106E6B"/>
    <w:rsid w:val="00120930"/>
    <w:rsid w:val="00140617"/>
    <w:rsid w:val="0016463C"/>
    <w:rsid w:val="00165FAC"/>
    <w:rsid w:val="001761E0"/>
    <w:rsid w:val="00186792"/>
    <w:rsid w:val="0019242C"/>
    <w:rsid w:val="001A677F"/>
    <w:rsid w:val="001B5D9C"/>
    <w:rsid w:val="001C142F"/>
    <w:rsid w:val="001F6325"/>
    <w:rsid w:val="00223494"/>
    <w:rsid w:val="00241038"/>
    <w:rsid w:val="00274FE0"/>
    <w:rsid w:val="00287173"/>
    <w:rsid w:val="002A092D"/>
    <w:rsid w:val="002D0FA2"/>
    <w:rsid w:val="00350154"/>
    <w:rsid w:val="00350AEC"/>
    <w:rsid w:val="00364556"/>
    <w:rsid w:val="00374B41"/>
    <w:rsid w:val="003C6C6E"/>
    <w:rsid w:val="003D35AB"/>
    <w:rsid w:val="003E558A"/>
    <w:rsid w:val="0041723F"/>
    <w:rsid w:val="00421C30"/>
    <w:rsid w:val="0043712D"/>
    <w:rsid w:val="00447D27"/>
    <w:rsid w:val="004C6C42"/>
    <w:rsid w:val="004D7BA1"/>
    <w:rsid w:val="004E790E"/>
    <w:rsid w:val="0050472C"/>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A25DB"/>
    <w:rsid w:val="007B009E"/>
    <w:rsid w:val="007B230B"/>
    <w:rsid w:val="007D1900"/>
    <w:rsid w:val="007E66F3"/>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12B76"/>
    <w:rsid w:val="00A37766"/>
    <w:rsid w:val="00A92B2E"/>
    <w:rsid w:val="00A97C84"/>
    <w:rsid w:val="00AF3670"/>
    <w:rsid w:val="00AF429B"/>
    <w:rsid w:val="00AF611B"/>
    <w:rsid w:val="00B055B6"/>
    <w:rsid w:val="00B11D14"/>
    <w:rsid w:val="00B5776E"/>
    <w:rsid w:val="00B95948"/>
    <w:rsid w:val="00BB0BA6"/>
    <w:rsid w:val="00BB379C"/>
    <w:rsid w:val="00C02666"/>
    <w:rsid w:val="00C0787E"/>
    <w:rsid w:val="00C45EC9"/>
    <w:rsid w:val="00C65319"/>
    <w:rsid w:val="00C72CA5"/>
    <w:rsid w:val="00CD1452"/>
    <w:rsid w:val="00D07856"/>
    <w:rsid w:val="00D07CEB"/>
    <w:rsid w:val="00D100E7"/>
    <w:rsid w:val="00D2224F"/>
    <w:rsid w:val="00D23365"/>
    <w:rsid w:val="00D3113F"/>
    <w:rsid w:val="00D43D9D"/>
    <w:rsid w:val="00D57256"/>
    <w:rsid w:val="00D607F4"/>
    <w:rsid w:val="00D65C57"/>
    <w:rsid w:val="00D701BD"/>
    <w:rsid w:val="00D7457F"/>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E682D"/>
    <w:rsid w:val="00EF19EA"/>
    <w:rsid w:val="00F04CE1"/>
    <w:rsid w:val="00F16C44"/>
    <w:rsid w:val="00F45AFB"/>
    <w:rsid w:val="00F46731"/>
    <w:rsid w:val="00F766E1"/>
    <w:rsid w:val="00F81733"/>
    <w:rsid w:val="00FB5885"/>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paragraph" w:styleId="Textedebulles">
    <w:name w:val="Balloon Text"/>
    <w:basedOn w:val="Normal"/>
    <w:link w:val="TextedebullesCar"/>
    <w:semiHidden/>
    <w:unhideWhenUsed/>
    <w:rsid w:val="00A37766"/>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A3776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brunelli@cra.wallonie.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guistique.fr@bosa.fgov.b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9C3C2D3626864DBD9279CAF52342C1C0"/>
        <w:category>
          <w:name w:val="Général"/>
          <w:gallery w:val="placeholder"/>
        </w:category>
        <w:types>
          <w:type w:val="bbPlcHdr"/>
        </w:types>
        <w:behaviors>
          <w:behavior w:val="content"/>
        </w:behaviors>
        <w:guid w:val="{98426939-98CB-49AD-BFCE-54BB09949DA3}"/>
      </w:docPartPr>
      <w:docPartBody>
        <w:p w:rsidR="00EA332B" w:rsidRDefault="008C7D42" w:rsidP="008C7D42">
          <w:pPr>
            <w:pStyle w:val="9C3C2D3626864DBD9279CAF52342C1C0"/>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433F65"/>
    <w:rsid w:val="006B4070"/>
    <w:rsid w:val="00750C26"/>
    <w:rsid w:val="008C7D42"/>
    <w:rsid w:val="00B14188"/>
    <w:rsid w:val="00C65319"/>
    <w:rsid w:val="00CC18A0"/>
    <w:rsid w:val="00EA332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7D42"/>
    <w:rPr>
      <w:color w:val="808080"/>
    </w:rPr>
  </w:style>
  <w:style w:type="paragraph" w:customStyle="1" w:styleId="71F268129ECC46B8A23B2AE31BECEC35">
    <w:name w:val="71F268129ECC46B8A23B2AE31BECEC35"/>
    <w:rsid w:val="008C7D42"/>
  </w:style>
  <w:style w:type="paragraph" w:customStyle="1" w:styleId="9C3C2D3626864DBD9279CAF52342C1C0">
    <w:name w:val="9C3C2D3626864DBD9279CAF52342C1C0"/>
    <w:rsid w:val="008C7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3.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FE9A9-FF56-4396-B702-A149286D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108</TotalTime>
  <Pages>11</Pages>
  <Words>2376</Words>
  <Characters>13074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13</cp:revision>
  <cp:lastPrinted>2022-02-04T13:56:00Z</cp:lastPrinted>
  <dcterms:created xsi:type="dcterms:W3CDTF">2022-04-05T13:35:00Z</dcterms:created>
  <dcterms:modified xsi:type="dcterms:W3CDTF">2022-09-15T07:26:00Z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