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40" w:rsidRDefault="00851B40" w:rsidP="00B702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B70261" w:rsidRPr="006367B5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367B5">
        <w:rPr>
          <w:rFonts w:cstheme="minorHAnsi"/>
          <w:b/>
          <w:bCs/>
          <w:sz w:val="24"/>
          <w:szCs w:val="24"/>
          <w:u w:val="single"/>
        </w:rPr>
        <w:t>BULLETIN D’ADHÉSION AU CONTRAT</w:t>
      </w:r>
      <w:r w:rsidR="006367B5" w:rsidRPr="006367B5">
        <w:rPr>
          <w:rFonts w:cstheme="minorHAnsi"/>
          <w:b/>
          <w:bCs/>
          <w:sz w:val="24"/>
          <w:szCs w:val="24"/>
          <w:u w:val="single"/>
        </w:rPr>
        <w:t xml:space="preserve"> IA CLIENT</w:t>
      </w:r>
      <w:r w:rsidRPr="006367B5">
        <w:rPr>
          <w:rFonts w:cstheme="minorHAnsi"/>
          <w:b/>
          <w:bCs/>
          <w:sz w:val="24"/>
          <w:szCs w:val="24"/>
          <w:u w:val="single"/>
        </w:rPr>
        <w:t xml:space="preserve"> N° IA2200075</w:t>
      </w:r>
      <w:r w:rsidR="006367B5" w:rsidRPr="006367B5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B70261" w:rsidRP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0261">
        <w:rPr>
          <w:rFonts w:cstheme="minorHAnsi"/>
        </w:rPr>
        <w:t>L’adhésion prend effet sous réserve de l’encaissement effectif par AN3S de la cotisation.</w:t>
      </w:r>
    </w:p>
    <w:p w:rsidR="00B70261" w:rsidRP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70261">
        <w:rPr>
          <w:rFonts w:cstheme="minorHAnsi"/>
          <w:b/>
          <w:bCs/>
        </w:rPr>
        <w:t>Effet de l’adhésion :</w:t>
      </w:r>
    </w:p>
    <w:p w:rsidR="00B70261" w:rsidRP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70261">
        <w:rPr>
          <w:rFonts w:cstheme="minorHAnsi"/>
          <w:b/>
          <w:bCs/>
        </w:rPr>
        <w:t>Durée des garanties : 1 an avec tacite reconduction</w:t>
      </w:r>
    </w:p>
    <w:p w:rsidR="00B70261" w:rsidRP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70261" w:rsidRP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07FB">
        <w:rPr>
          <w:rFonts w:cstheme="minorHAnsi"/>
          <w:b/>
          <w:bCs/>
          <w:u w:val="single"/>
        </w:rPr>
        <w:t xml:space="preserve">A REMPLIR PAR </w:t>
      </w:r>
      <w:proofErr w:type="gramStart"/>
      <w:r w:rsidRPr="008B07FB">
        <w:rPr>
          <w:rFonts w:cstheme="minorHAnsi"/>
          <w:b/>
          <w:bCs/>
          <w:u w:val="single"/>
        </w:rPr>
        <w:t>L’ADHÉRENT</w:t>
      </w:r>
      <w:r w:rsidRPr="00B70261">
        <w:rPr>
          <w:rFonts w:cstheme="minorHAnsi"/>
          <w:b/>
          <w:bCs/>
        </w:rPr>
        <w:t>:</w:t>
      </w:r>
      <w:proofErr w:type="gramEnd"/>
    </w:p>
    <w:p w:rsidR="00B70261" w:rsidRP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70261">
        <w:rPr>
          <w:rFonts w:cstheme="minorHAnsi"/>
          <w:b/>
          <w:bCs/>
        </w:rPr>
        <w:t>Nom :</w:t>
      </w:r>
    </w:p>
    <w:p w:rsidR="00B70261" w:rsidRP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70261">
        <w:rPr>
          <w:rFonts w:cstheme="minorHAnsi"/>
          <w:b/>
          <w:bCs/>
        </w:rPr>
        <w:t>Adresse :</w:t>
      </w:r>
    </w:p>
    <w:p w:rsidR="00B70261" w:rsidRP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70261">
        <w:rPr>
          <w:rFonts w:cstheme="minorHAnsi"/>
          <w:b/>
          <w:bCs/>
        </w:rPr>
        <w:t>Syndicat adhérent :</w:t>
      </w:r>
    </w:p>
    <w:p w:rsidR="00B70261" w:rsidRP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70261">
        <w:rPr>
          <w:rFonts w:cstheme="minorHAnsi"/>
          <w:b/>
          <w:bCs/>
        </w:rPr>
        <w:t>Activités Pratiquées :</w:t>
      </w:r>
    </w:p>
    <w:p w:rsidR="00B70261" w:rsidRP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70261">
        <w:rPr>
          <w:rFonts w:cstheme="minorHAnsi"/>
          <w:b/>
          <w:bCs/>
        </w:rPr>
        <w:t>TERRITORIALITÉ : Europe y compris DOM TOM</w:t>
      </w:r>
    </w:p>
    <w:p w:rsidR="00B70261" w:rsidRP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70261" w:rsidRP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07FB">
        <w:rPr>
          <w:rFonts w:cstheme="minorHAnsi"/>
          <w:b/>
          <w:bCs/>
          <w:u w:val="single"/>
        </w:rPr>
        <w:t>CHAMP D’APPLICATION DES GARANTIES</w:t>
      </w:r>
      <w:r w:rsidRPr="00B70261">
        <w:rPr>
          <w:rFonts w:cstheme="minorHAnsi"/>
          <w:b/>
          <w:bCs/>
        </w:rPr>
        <w:t xml:space="preserve"> :</w:t>
      </w:r>
    </w:p>
    <w:p w:rsidR="00B70261" w:rsidRP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0261">
        <w:rPr>
          <w:rFonts w:cstheme="minorHAnsi"/>
        </w:rPr>
        <w:t>Les garanties sont acquises aux assurés</w:t>
      </w:r>
      <w:r>
        <w:rPr>
          <w:rFonts w:cstheme="minorHAnsi"/>
        </w:rPr>
        <w:t xml:space="preserve"> (clients) </w:t>
      </w:r>
      <w:r w:rsidRPr="00B70261">
        <w:rPr>
          <w:rFonts w:cstheme="minorHAnsi"/>
        </w:rPr>
        <w:t>en cas de dommages corporels survenant exclusivement</w:t>
      </w:r>
      <w:r>
        <w:rPr>
          <w:rFonts w:cstheme="minorHAnsi"/>
        </w:rPr>
        <w:t xml:space="preserve"> </w:t>
      </w:r>
      <w:r w:rsidRPr="00B70261">
        <w:rPr>
          <w:rFonts w:cstheme="minorHAnsi"/>
        </w:rPr>
        <w:t>lors de leurs participations aux activités sportives organisés par le coach sportif ayant adhéré au</w:t>
      </w:r>
      <w:r>
        <w:rPr>
          <w:rFonts w:cstheme="minorHAnsi"/>
        </w:rPr>
        <w:t xml:space="preserve"> </w:t>
      </w:r>
      <w:r w:rsidRPr="00B70261">
        <w:rPr>
          <w:rFonts w:cstheme="minorHAnsi"/>
        </w:rPr>
        <w:t>programme d’assurance avec ACS+. A l’exclusion de toutes compétitions.</w:t>
      </w:r>
    </w:p>
    <w:p w:rsidR="00B70261" w:rsidRP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8B07FB">
        <w:rPr>
          <w:rFonts w:cstheme="minorHAnsi"/>
          <w:b/>
          <w:bCs/>
          <w:u w:val="single"/>
        </w:rPr>
        <w:t>MONTANT DES GARANTIES ET DES FRANCHISES PAR ASSURE</w:t>
      </w:r>
    </w:p>
    <w:p w:rsidR="00BB60E6" w:rsidRDefault="00BB60E6" w:rsidP="00BB60E6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3282"/>
        <w:gridCol w:w="3282"/>
      </w:tblGrid>
      <w:tr w:rsidR="00BB60E6">
        <w:trPr>
          <w:trHeight w:val="115"/>
        </w:trPr>
        <w:tc>
          <w:tcPr>
            <w:tcW w:w="3282" w:type="dxa"/>
          </w:tcPr>
          <w:p w:rsidR="00BB60E6" w:rsidRDefault="00BB60E6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Garantie </w:t>
            </w:r>
          </w:p>
        </w:tc>
        <w:tc>
          <w:tcPr>
            <w:tcW w:w="3282" w:type="dxa"/>
          </w:tcPr>
          <w:p w:rsidR="00BB60E6" w:rsidRDefault="00BB60E6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Plafond </w:t>
            </w:r>
          </w:p>
        </w:tc>
        <w:tc>
          <w:tcPr>
            <w:tcW w:w="3282" w:type="dxa"/>
          </w:tcPr>
          <w:p w:rsidR="00BB60E6" w:rsidRDefault="00BB60E6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Franchise </w:t>
            </w:r>
          </w:p>
        </w:tc>
      </w:tr>
      <w:tr w:rsidR="00BB60E6">
        <w:trPr>
          <w:trHeight w:val="119"/>
        </w:trPr>
        <w:tc>
          <w:tcPr>
            <w:tcW w:w="3282" w:type="dxa"/>
          </w:tcPr>
          <w:p w:rsidR="00BB60E6" w:rsidRDefault="00BB60E6">
            <w:pPr>
              <w:pStyle w:val="Default"/>
              <w:rPr>
                <w:color w:val="auto"/>
              </w:rPr>
            </w:pP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b/>
                <w:bCs/>
                <w:sz w:val="16"/>
                <w:szCs w:val="16"/>
              </w:rPr>
              <w:t xml:space="preserve">Décès suite à Accident </w:t>
            </w: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282" w:type="dxa"/>
          </w:tcPr>
          <w:p w:rsidR="00BB60E6" w:rsidRDefault="00BB60E6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8 000 € </w:t>
            </w:r>
          </w:p>
        </w:tc>
        <w:tc>
          <w:tcPr>
            <w:tcW w:w="3282" w:type="dxa"/>
          </w:tcPr>
          <w:p w:rsidR="00BB60E6" w:rsidRDefault="00BB60E6">
            <w:pPr>
              <w:pStyle w:val="Default"/>
              <w:rPr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Néant </w:t>
            </w:r>
          </w:p>
        </w:tc>
      </w:tr>
      <w:tr w:rsidR="00BB60E6">
        <w:trPr>
          <w:trHeight w:val="1030"/>
        </w:trPr>
        <w:tc>
          <w:tcPr>
            <w:tcW w:w="3282" w:type="dxa"/>
          </w:tcPr>
          <w:p w:rsidR="00BB60E6" w:rsidRDefault="00BB60E6">
            <w:pPr>
              <w:pStyle w:val="Default"/>
              <w:rPr>
                <w:color w:val="auto"/>
              </w:rPr>
            </w:pP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b/>
                <w:bCs/>
                <w:sz w:val="16"/>
                <w:szCs w:val="16"/>
              </w:rPr>
              <w:t xml:space="preserve">Invalidité Permanente Totale ou partielle suite à Accident (selon barème) </w:t>
            </w: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b/>
                <w:bCs/>
                <w:sz w:val="16"/>
                <w:szCs w:val="16"/>
              </w:rPr>
              <w:t xml:space="preserve">Indemnités Journalières suite à Accident – </w:t>
            </w: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b/>
                <w:bCs/>
                <w:sz w:val="16"/>
                <w:szCs w:val="16"/>
              </w:rPr>
              <w:t xml:space="preserve">Frais traitement suite à accident </w:t>
            </w: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b/>
                <w:bCs/>
                <w:sz w:val="16"/>
                <w:szCs w:val="16"/>
              </w:rPr>
              <w:t xml:space="preserve">Option Frais de rapatriement, de recherche et de secours </w:t>
            </w: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282" w:type="dxa"/>
          </w:tcPr>
          <w:p w:rsidR="00BB60E6" w:rsidRDefault="00BB60E6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50 000 € </w:t>
            </w:r>
          </w:p>
          <w:p w:rsidR="00BB60E6" w:rsidRDefault="00BB60E6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20€ /jour (maxi 365j) </w:t>
            </w:r>
          </w:p>
          <w:p w:rsidR="00BB60E6" w:rsidRDefault="00BB60E6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5 000 € </w:t>
            </w:r>
          </w:p>
          <w:p w:rsidR="00BB60E6" w:rsidRDefault="00BB60E6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6 000 € </w:t>
            </w:r>
          </w:p>
        </w:tc>
        <w:tc>
          <w:tcPr>
            <w:tcW w:w="3282" w:type="dxa"/>
          </w:tcPr>
          <w:p w:rsidR="00BB60E6" w:rsidRDefault="00BB60E6">
            <w:pPr>
              <w:pStyle w:val="Default"/>
              <w:rPr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10% franchise relative </w:t>
            </w: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Franchise absolue : 15 jours </w:t>
            </w: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Franchise absolue : 38€ </w:t>
            </w: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</w:p>
          <w:p w:rsidR="00BB60E6" w:rsidRDefault="00BB60E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Néant </w:t>
            </w:r>
          </w:p>
        </w:tc>
      </w:tr>
    </w:tbl>
    <w:p w:rsidR="00B70261" w:rsidRDefault="00BB60E6" w:rsidP="00B70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M</w:t>
      </w:r>
      <w:r w:rsidR="00B70261" w:rsidRPr="00B70261">
        <w:rPr>
          <w:rFonts w:cstheme="minorHAnsi"/>
          <w:b/>
          <w:bCs/>
        </w:rPr>
        <w:t xml:space="preserve">aximum garanti : </w:t>
      </w:r>
      <w:r w:rsidR="00B70261" w:rsidRPr="00B70261">
        <w:rPr>
          <w:rFonts w:cstheme="minorHAnsi"/>
        </w:rPr>
        <w:t>par événement : 500 000 EUR / par assuré : 8 000 EUR</w:t>
      </w:r>
    </w:p>
    <w:p w:rsidR="00B70261" w:rsidRP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07FB">
        <w:rPr>
          <w:rFonts w:cstheme="minorHAnsi"/>
          <w:b/>
          <w:bCs/>
          <w:u w:val="single"/>
        </w:rPr>
        <w:t>COTISATION ANNUELLE</w:t>
      </w:r>
      <w:r w:rsidRPr="00B70261">
        <w:rPr>
          <w:rFonts w:cstheme="minorHAnsi"/>
          <w:b/>
          <w:bCs/>
        </w:rPr>
        <w:t xml:space="preserve"> :</w:t>
      </w:r>
    </w:p>
    <w:p w:rsidR="007556E4" w:rsidRPr="00B70261" w:rsidRDefault="007556E4" w:rsidP="00B702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0261">
        <w:rPr>
          <w:rFonts w:cstheme="minorHAnsi"/>
        </w:rPr>
        <w:t>CA du Moniteur Sportif Prime de base TTC</w:t>
      </w:r>
    </w:p>
    <w:p w:rsidR="001A378C" w:rsidRDefault="001A378C" w:rsidP="00B70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8364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875"/>
        <w:gridCol w:w="3220"/>
      </w:tblGrid>
      <w:tr w:rsidR="001A378C" w:rsidRPr="00B70261" w:rsidTr="009827C1">
        <w:trPr>
          <w:trHeight w:val="54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78C" w:rsidRPr="00B70261" w:rsidRDefault="001A378C" w:rsidP="009827C1">
            <w:pPr>
              <w:pBdr>
                <w:bottom w:val="single" w:sz="4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B702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Chiffre d’Affaires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378C" w:rsidRPr="00B70261" w:rsidRDefault="001A378C" w:rsidP="009827C1">
            <w:pPr>
              <w:pBdr>
                <w:bottom w:val="single" w:sz="4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B702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Primes TTC souscription 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78C" w:rsidRPr="00B70261" w:rsidRDefault="001A378C" w:rsidP="009827C1">
            <w:pPr>
              <w:pBdr>
                <w:bottom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Option Assistance et Rapatriement</w:t>
            </w:r>
          </w:p>
        </w:tc>
      </w:tr>
      <w:tr w:rsidR="001A378C" w:rsidRPr="00B70261" w:rsidTr="009827C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78C" w:rsidRPr="00B70261" w:rsidRDefault="001A378C" w:rsidP="009827C1">
            <w:pPr>
              <w:pBdr>
                <w:bottom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B702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De 1 € à 30 000 €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78C" w:rsidRPr="00B70261" w:rsidRDefault="001A378C" w:rsidP="009827C1">
            <w:pPr>
              <w:pBdr>
                <w:bottom w:val="single" w:sz="4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B702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    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50 € </w:t>
            </w:r>
            <w:permStart w:id="2126390263" w:edGrp="everyone"/>
            <w:sdt>
              <w:sdtPr>
                <w:rPr>
                  <w:rFonts w:eastAsia="Times New Roman" w:cstheme="minorHAnsi"/>
                  <w:color w:val="002060"/>
                  <w:sz w:val="14"/>
                </w:rPr>
                <w:id w:val="183310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z w:val="14"/>
                  </w:rPr>
                  <w:t>☐</w:t>
                </w:r>
              </w:sdtContent>
            </w:sdt>
            <w:permEnd w:id="2126390263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378C" w:rsidRPr="00B70261" w:rsidRDefault="001A378C" w:rsidP="009827C1">
            <w:pPr>
              <w:pBdr>
                <w:bottom w:val="single" w:sz="4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permStart w:id="358497030" w:edGrp="everyone"/>
            <w:sdt>
              <w:sdtPr>
                <w:rPr>
                  <w:rFonts w:eastAsia="Times New Roman" w:cstheme="minorHAnsi"/>
                  <w:color w:val="002060"/>
                  <w:sz w:val="14"/>
                </w:rPr>
                <w:id w:val="141242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z w:val="14"/>
                  </w:rPr>
                  <w:t>☐</w:t>
                </w:r>
              </w:sdtContent>
            </w:sdt>
            <w:permEnd w:id="358497030"/>
          </w:p>
        </w:tc>
      </w:tr>
      <w:tr w:rsidR="001A378C" w:rsidRPr="00B70261" w:rsidTr="009827C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78C" w:rsidRPr="00B70261" w:rsidRDefault="001A378C" w:rsidP="009827C1">
            <w:pPr>
              <w:pBdr>
                <w:bottom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B702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De 30 001 € à 60 000 €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78C" w:rsidRPr="00B70261" w:rsidRDefault="001A378C" w:rsidP="009827C1">
            <w:pPr>
              <w:pBdr>
                <w:bottom w:val="single" w:sz="4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B702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  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137</w:t>
            </w:r>
            <w:r w:rsidRPr="00B702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€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</w:t>
            </w:r>
            <w:permStart w:id="117443250" w:edGrp="everyone"/>
            <w:sdt>
              <w:sdtPr>
                <w:rPr>
                  <w:rFonts w:eastAsia="Times New Roman" w:cstheme="minorHAnsi"/>
                  <w:color w:val="002060"/>
                  <w:sz w:val="14"/>
                </w:rPr>
                <w:id w:val="-90876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z w:val="14"/>
                  </w:rPr>
                  <w:t>☐</w:t>
                </w:r>
              </w:sdtContent>
            </w:sdt>
            <w:permEnd w:id="117443250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378C" w:rsidRPr="00B70261" w:rsidRDefault="001A378C" w:rsidP="009827C1">
            <w:pPr>
              <w:pBdr>
                <w:bottom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                              80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permStart w:id="1652104289" w:edGrp="everyone"/>
            <w:sdt>
              <w:sdtPr>
                <w:rPr>
                  <w:rFonts w:eastAsia="Times New Roman" w:cstheme="minorHAnsi"/>
                  <w:color w:val="002060"/>
                  <w:sz w:val="14"/>
                </w:rPr>
                <w:id w:val="-10172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z w:val="14"/>
                  </w:rPr>
                  <w:t>☐</w:t>
                </w:r>
              </w:sdtContent>
            </w:sdt>
            <w:permEnd w:id="1652104289"/>
          </w:p>
        </w:tc>
      </w:tr>
      <w:tr w:rsidR="001A378C" w:rsidRPr="00B70261" w:rsidTr="009827C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78C" w:rsidRPr="00B70261" w:rsidRDefault="001A378C" w:rsidP="009827C1">
            <w:pPr>
              <w:pBdr>
                <w:bottom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B702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De 60 001 € à 100 000 €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78C" w:rsidRPr="00B70261" w:rsidRDefault="001A378C" w:rsidP="009827C1">
            <w:pPr>
              <w:pBdr>
                <w:bottom w:val="single" w:sz="4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B702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   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213 </w:t>
            </w:r>
            <w:r w:rsidRPr="00B702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</w:t>
            </w:r>
            <w:permStart w:id="1753557297" w:edGrp="everyone"/>
            <w:sdt>
              <w:sdtPr>
                <w:rPr>
                  <w:rFonts w:eastAsia="Times New Roman" w:cstheme="minorHAnsi"/>
                  <w:color w:val="002060"/>
                  <w:sz w:val="14"/>
                </w:rPr>
                <w:id w:val="-147922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z w:val="14"/>
                  </w:rPr>
                  <w:t>☐</w:t>
                </w:r>
              </w:sdtContent>
            </w:sdt>
            <w:permEnd w:id="1753557297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378C" w:rsidRPr="00B70261" w:rsidRDefault="001A378C" w:rsidP="009827C1">
            <w:pPr>
              <w:pBdr>
                <w:bottom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                             130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permStart w:id="735665682" w:edGrp="everyone"/>
            <w:sdt>
              <w:sdtPr>
                <w:rPr>
                  <w:rFonts w:eastAsia="Times New Roman" w:cstheme="minorHAnsi"/>
                  <w:color w:val="002060"/>
                  <w:sz w:val="14"/>
                </w:rPr>
                <w:id w:val="-88526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z w:val="14"/>
                  </w:rPr>
                  <w:t>☐</w:t>
                </w:r>
              </w:sdtContent>
            </w:sdt>
            <w:permEnd w:id="735665682"/>
          </w:p>
        </w:tc>
      </w:tr>
      <w:tr w:rsidR="001A378C" w:rsidRPr="00B70261" w:rsidTr="009827C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78C" w:rsidRPr="00B70261" w:rsidRDefault="001A378C" w:rsidP="009827C1">
            <w:pPr>
              <w:pBdr>
                <w:bottom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B702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De 100 001 € à 150 000 €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78C" w:rsidRPr="00B70261" w:rsidRDefault="001A378C" w:rsidP="009827C1">
            <w:pPr>
              <w:pBdr>
                <w:bottom w:val="single" w:sz="4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B702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     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313</w:t>
            </w:r>
            <w:r w:rsidRPr="00B702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€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</w:t>
            </w:r>
            <w:permStart w:id="1708330073" w:edGrp="everyone"/>
            <w:sdt>
              <w:sdtPr>
                <w:rPr>
                  <w:rFonts w:eastAsia="Times New Roman" w:cstheme="minorHAnsi"/>
                  <w:color w:val="002060"/>
                  <w:sz w:val="14"/>
                </w:rPr>
                <w:id w:val="-143582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z w:val="14"/>
                  </w:rPr>
                  <w:t>☐</w:t>
                </w:r>
              </w:sdtContent>
            </w:sdt>
            <w:permEnd w:id="1708330073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378C" w:rsidRPr="00B70261" w:rsidRDefault="001A378C" w:rsidP="009827C1">
            <w:pPr>
              <w:pBdr>
                <w:bottom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                             200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permStart w:id="190992115" w:edGrp="everyone"/>
            <w:sdt>
              <w:sdtPr>
                <w:rPr>
                  <w:rFonts w:eastAsia="Times New Roman" w:cstheme="minorHAnsi"/>
                  <w:color w:val="002060"/>
                  <w:sz w:val="14"/>
                </w:rPr>
                <w:id w:val="164701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z w:val="14"/>
                  </w:rPr>
                  <w:t>☐</w:t>
                </w:r>
              </w:sdtContent>
            </w:sdt>
            <w:permEnd w:id="190992115"/>
          </w:p>
        </w:tc>
      </w:tr>
      <w:tr w:rsidR="001A378C" w:rsidRPr="00B70261" w:rsidTr="009827C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78C" w:rsidRPr="00B70261" w:rsidRDefault="001A378C" w:rsidP="009827C1">
            <w:pPr>
              <w:pBdr>
                <w:bottom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B702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De 150 001 € à 300 000 €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378C" w:rsidRPr="00B70261" w:rsidRDefault="001A378C" w:rsidP="009827C1">
            <w:pPr>
              <w:pBdr>
                <w:bottom w:val="single" w:sz="4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B702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      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</w:t>
            </w:r>
            <w:r w:rsidRPr="00B702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€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</w:t>
            </w:r>
            <w:permStart w:id="1039600314" w:edGrp="everyone"/>
            <w:sdt>
              <w:sdtPr>
                <w:rPr>
                  <w:rFonts w:eastAsia="Times New Roman" w:cstheme="minorHAnsi"/>
                  <w:color w:val="002060"/>
                  <w:sz w:val="14"/>
                </w:rPr>
                <w:id w:val="10578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z w:val="14"/>
                  </w:rPr>
                  <w:t>☐</w:t>
                </w:r>
              </w:sdtContent>
            </w:sdt>
            <w:permEnd w:id="1039600314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A378C" w:rsidRPr="00B70261" w:rsidRDefault="001A378C" w:rsidP="009827C1">
            <w:pPr>
              <w:pBdr>
                <w:bottom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                            250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permStart w:id="54034203" w:edGrp="everyone"/>
            <w:sdt>
              <w:sdtPr>
                <w:rPr>
                  <w:rFonts w:eastAsia="Times New Roman" w:cstheme="minorHAnsi"/>
                  <w:color w:val="002060"/>
                  <w:sz w:val="14"/>
                </w:rPr>
                <w:id w:val="-92464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sz w:val="14"/>
                  </w:rPr>
                  <w:t>☐</w:t>
                </w:r>
              </w:sdtContent>
            </w:sdt>
            <w:permEnd w:id="54034203"/>
          </w:p>
        </w:tc>
      </w:tr>
    </w:tbl>
    <w:p w:rsidR="001A378C" w:rsidRPr="00C2368C" w:rsidRDefault="001A378C" w:rsidP="001A378C"/>
    <w:p w:rsidR="001A378C" w:rsidRDefault="001A378C" w:rsidP="00B70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A378C" w:rsidRDefault="001A378C" w:rsidP="00B70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70261" w:rsidRPr="00B70261" w:rsidRDefault="009E75AF" w:rsidP="00B70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</w:t>
      </w:r>
      <w:r w:rsidR="00B70261" w:rsidRPr="00B70261">
        <w:rPr>
          <w:rFonts w:cstheme="minorHAnsi"/>
        </w:rPr>
        <w:t>e certifie ne pas avoir été victime d’un accident ou d’une maladie ayant entraîné une invalidité permanente.</w:t>
      </w:r>
    </w:p>
    <w:p w:rsidR="00B70261" w:rsidRP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0261">
        <w:rPr>
          <w:rFonts w:cstheme="minorHAnsi"/>
        </w:rPr>
        <w:t>Je certifie sincères et exacts tous les renseignements portés sur le présent document et déclare avoir été informé</w:t>
      </w:r>
      <w:r w:rsidR="009E75AF">
        <w:rPr>
          <w:rFonts w:cstheme="minorHAnsi"/>
        </w:rPr>
        <w:t xml:space="preserve"> </w:t>
      </w:r>
      <w:r w:rsidRPr="00B70261">
        <w:rPr>
          <w:rFonts w:cstheme="minorHAnsi"/>
        </w:rPr>
        <w:t>que toute fausse déclaration, omission ou inexactitude entraîne les sanctions prévues aux articles L.113-8 (nullité</w:t>
      </w:r>
      <w:r w:rsidR="009E75AF">
        <w:rPr>
          <w:rFonts w:cstheme="minorHAnsi"/>
        </w:rPr>
        <w:t xml:space="preserve"> </w:t>
      </w:r>
      <w:r w:rsidRPr="00B70261">
        <w:rPr>
          <w:rFonts w:cstheme="minorHAnsi"/>
        </w:rPr>
        <w:t>du contrat) et L.113-9 (Réduction des indemnités) du Code des Assurances et aux articles 1104 et 1964 du Code</w:t>
      </w:r>
      <w:r w:rsidR="006367B5">
        <w:rPr>
          <w:rFonts w:cstheme="minorHAnsi"/>
        </w:rPr>
        <w:t xml:space="preserve"> </w:t>
      </w:r>
      <w:r w:rsidRPr="00B70261">
        <w:rPr>
          <w:rFonts w:cstheme="minorHAnsi"/>
        </w:rPr>
        <w:t>civil (absence d’aléa).</w:t>
      </w:r>
    </w:p>
    <w:p w:rsidR="00B70261" w:rsidRPr="008B07FB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B70261">
        <w:rPr>
          <w:rFonts w:cstheme="minorHAnsi"/>
        </w:rPr>
        <w:t xml:space="preserve">Je certifie avoir pris connaissance des conditions de la notice dont un exemplaire m’a été remis et je </w:t>
      </w:r>
      <w:r w:rsidRPr="008B07FB">
        <w:rPr>
          <w:rFonts w:cstheme="minorHAnsi"/>
          <w:u w:val="single"/>
        </w:rPr>
        <w:t>règle la</w:t>
      </w:r>
      <w:r w:rsidR="009E75AF" w:rsidRPr="008B07FB">
        <w:rPr>
          <w:rFonts w:cstheme="minorHAnsi"/>
          <w:u w:val="single"/>
        </w:rPr>
        <w:t xml:space="preserve"> </w:t>
      </w:r>
      <w:r w:rsidRPr="008B07FB">
        <w:rPr>
          <w:rFonts w:cstheme="minorHAnsi"/>
          <w:u w:val="single"/>
        </w:rPr>
        <w:t>cotisation de</w:t>
      </w:r>
      <w:r w:rsidR="009E75AF" w:rsidRPr="008B07FB">
        <w:rPr>
          <w:rFonts w:cstheme="minorHAnsi"/>
          <w:u w:val="single"/>
        </w:rPr>
        <w:t xml:space="preserve">……. </w:t>
      </w:r>
      <w:r w:rsidRPr="008B07FB">
        <w:rPr>
          <w:rFonts w:cstheme="minorHAnsi"/>
          <w:u w:val="single"/>
        </w:rPr>
        <w:t>EUR TTC.</w:t>
      </w:r>
    </w:p>
    <w:p w:rsidR="009E75AF" w:rsidRDefault="009E75AF" w:rsidP="00B70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70261" w:rsidRPr="00B70261" w:rsidRDefault="00B70261" w:rsidP="00B702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0261">
        <w:rPr>
          <w:rFonts w:cstheme="minorHAnsi"/>
        </w:rPr>
        <w:t xml:space="preserve">Fait à le </w:t>
      </w:r>
      <w:r w:rsidR="009E75AF">
        <w:rPr>
          <w:rFonts w:cstheme="minorHAnsi"/>
        </w:rPr>
        <w:t xml:space="preserve">……                                                                      </w:t>
      </w:r>
      <w:r w:rsidRPr="00B70261">
        <w:rPr>
          <w:rFonts w:cstheme="minorHAnsi"/>
        </w:rPr>
        <w:t xml:space="preserve"> </w:t>
      </w:r>
      <w:proofErr w:type="gramStart"/>
      <w:r w:rsidRPr="00B70261">
        <w:rPr>
          <w:rFonts w:cstheme="minorHAnsi"/>
        </w:rPr>
        <w:t>signature</w:t>
      </w:r>
      <w:proofErr w:type="gramEnd"/>
      <w:r w:rsidRPr="00B70261">
        <w:rPr>
          <w:rFonts w:cstheme="minorHAnsi"/>
        </w:rPr>
        <w:t xml:space="preserve"> de l’adhérent</w:t>
      </w:r>
    </w:p>
    <w:sectPr w:rsidR="00B70261" w:rsidRPr="00B702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474" w:rsidRDefault="00330474" w:rsidP="00851B40">
      <w:pPr>
        <w:spacing w:after="0" w:line="240" w:lineRule="auto"/>
      </w:pPr>
      <w:r>
        <w:separator/>
      </w:r>
    </w:p>
  </w:endnote>
  <w:endnote w:type="continuationSeparator" w:id="0">
    <w:p w:rsidR="00330474" w:rsidRDefault="00330474" w:rsidP="0085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40" w:rsidRDefault="00851B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40" w:rsidRDefault="00851B4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40" w:rsidRDefault="00851B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474" w:rsidRDefault="00330474" w:rsidP="00851B40">
      <w:pPr>
        <w:spacing w:after="0" w:line="240" w:lineRule="auto"/>
      </w:pPr>
      <w:r>
        <w:separator/>
      </w:r>
    </w:p>
  </w:footnote>
  <w:footnote w:type="continuationSeparator" w:id="0">
    <w:p w:rsidR="00330474" w:rsidRDefault="00330474" w:rsidP="0085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40" w:rsidRDefault="00851B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40" w:rsidRDefault="00851B40">
    <w:pPr>
      <w:pStyle w:val="En-tte"/>
    </w:pPr>
    <w:r w:rsidRPr="00851B40">
      <w:rPr>
        <w:noProof/>
      </w:rPr>
      <w:drawing>
        <wp:inline distT="0" distB="0" distL="0" distR="0">
          <wp:extent cx="1196340" cy="624840"/>
          <wp:effectExtent l="0" t="0" r="381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40" w:rsidRDefault="00851B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61"/>
    <w:rsid w:val="000207A2"/>
    <w:rsid w:val="001A378C"/>
    <w:rsid w:val="001A7611"/>
    <w:rsid w:val="001B2E87"/>
    <w:rsid w:val="00330474"/>
    <w:rsid w:val="003C5DDF"/>
    <w:rsid w:val="0045171F"/>
    <w:rsid w:val="004D43C3"/>
    <w:rsid w:val="006326A4"/>
    <w:rsid w:val="006367B5"/>
    <w:rsid w:val="006C2BF2"/>
    <w:rsid w:val="007556E4"/>
    <w:rsid w:val="00851B40"/>
    <w:rsid w:val="008B07FB"/>
    <w:rsid w:val="009E75AF"/>
    <w:rsid w:val="00AC084B"/>
    <w:rsid w:val="00B50EE2"/>
    <w:rsid w:val="00B70261"/>
    <w:rsid w:val="00BB60E6"/>
    <w:rsid w:val="00F1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40EA"/>
  <w15:chartTrackingRefBased/>
  <w15:docId w15:val="{AA4AB62C-6421-411B-8B22-4F52D02F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B40"/>
  </w:style>
  <w:style w:type="paragraph" w:styleId="Pieddepage">
    <w:name w:val="footer"/>
    <w:basedOn w:val="Normal"/>
    <w:link w:val="PieddepageCar"/>
    <w:uiPriority w:val="99"/>
    <w:unhideWhenUsed/>
    <w:rsid w:val="0085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1B40"/>
  </w:style>
  <w:style w:type="paragraph" w:customStyle="1" w:styleId="Default">
    <w:name w:val="Default"/>
    <w:rsid w:val="00BB60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François</cp:lastModifiedBy>
  <cp:revision>13</cp:revision>
  <dcterms:created xsi:type="dcterms:W3CDTF">2022-12-16T10:25:00Z</dcterms:created>
  <dcterms:modified xsi:type="dcterms:W3CDTF">2022-12-18T14:34:00Z</dcterms:modified>
</cp:coreProperties>
</file>