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72B4" w14:textId="77777777" w:rsidR="00927F9D" w:rsidRDefault="0051199F" w:rsidP="00E857CA">
      <w:pPr>
        <w:pStyle w:val="Titre1"/>
        <w:spacing w:before="300" w:after="150"/>
        <w:ind w:right="-290"/>
        <w:jc w:val="center"/>
        <w:rPr>
          <w:rFonts w:ascii="Times New Roman" w:hAnsi="Times New Roman" w:cs="Times New Roman"/>
          <w:b/>
          <w:bCs/>
          <w:color w:val="B51621"/>
          <w:sz w:val="40"/>
          <w:szCs w:val="40"/>
        </w:rPr>
      </w:pPr>
      <w:r w:rsidRPr="0051199F">
        <w:rPr>
          <w:rFonts w:ascii="Times New Roman" w:hAnsi="Times New Roman" w:cs="Times New Roman"/>
          <w:b/>
          <w:bCs/>
          <w:color w:val="B51621"/>
          <w:sz w:val="40"/>
          <w:szCs w:val="40"/>
        </w:rPr>
        <w:t>L’évaluation en classe,</w:t>
      </w:r>
      <w:r w:rsidR="00927F9D">
        <w:rPr>
          <w:rFonts w:ascii="Times New Roman" w:hAnsi="Times New Roman" w:cs="Times New Roman"/>
          <w:b/>
          <w:bCs/>
          <w:color w:val="B51621"/>
          <w:sz w:val="40"/>
          <w:szCs w:val="40"/>
        </w:rPr>
        <w:br/>
      </w:r>
      <w:r w:rsidRPr="0051199F">
        <w:rPr>
          <w:rFonts w:ascii="Times New Roman" w:hAnsi="Times New Roman" w:cs="Times New Roman"/>
          <w:b/>
          <w:bCs/>
          <w:color w:val="B51621"/>
          <w:sz w:val="40"/>
          <w:szCs w:val="40"/>
        </w:rPr>
        <w:t>au service de l’apprentissage des élèves</w:t>
      </w:r>
    </w:p>
    <w:p w14:paraId="2867251B" w14:textId="77777777" w:rsidR="00E857CA" w:rsidRPr="00E857CA" w:rsidRDefault="00E857CA" w:rsidP="00E857CA">
      <w:pPr>
        <w:pStyle w:val="Titre1"/>
        <w:spacing w:before="300" w:after="150"/>
        <w:ind w:right="-290"/>
        <w:jc w:val="center"/>
        <w:rPr>
          <w:rFonts w:ascii="Times New Roman" w:hAnsi="Times New Roman" w:cs="Times New Roman"/>
          <w:b/>
          <w:bCs/>
          <w:color w:val="000000" w:themeColor="text1"/>
          <w:sz w:val="24"/>
          <w:szCs w:val="24"/>
        </w:rPr>
      </w:pPr>
      <w:r w:rsidRPr="00E857CA">
        <w:rPr>
          <w:rFonts w:ascii="Times New Roman" w:hAnsi="Times New Roman" w:cs="Times New Roman"/>
          <w:b/>
          <w:bCs/>
          <w:color w:val="000000" w:themeColor="text1"/>
          <w:sz w:val="24"/>
          <w:szCs w:val="24"/>
        </w:rPr>
        <w:t>Conférence de consensus</w:t>
      </w:r>
      <w:r>
        <w:rPr>
          <w:rFonts w:ascii="Times New Roman" w:hAnsi="Times New Roman" w:cs="Times New Roman"/>
          <w:b/>
          <w:bCs/>
          <w:color w:val="000000" w:themeColor="text1"/>
          <w:sz w:val="24"/>
          <w:szCs w:val="24"/>
        </w:rPr>
        <w:t xml:space="preserve"> du CNAM - </w:t>
      </w:r>
      <w:r w:rsidRPr="00E857CA">
        <w:rPr>
          <w:rFonts w:ascii="Times New Roman" w:hAnsi="Times New Roman" w:cs="Times New Roman"/>
          <w:b/>
          <w:bCs/>
          <w:color w:val="000000" w:themeColor="text1"/>
          <w:sz w:val="24"/>
          <w:szCs w:val="24"/>
        </w:rPr>
        <w:t xml:space="preserve"> </w:t>
      </w:r>
      <w:proofErr w:type="spellStart"/>
      <w:r w:rsidRPr="00E857CA">
        <w:rPr>
          <w:rFonts w:ascii="Times New Roman" w:hAnsi="Times New Roman" w:cs="Times New Roman"/>
          <w:b/>
          <w:bCs/>
          <w:color w:val="000000" w:themeColor="text1"/>
          <w:sz w:val="24"/>
          <w:szCs w:val="24"/>
        </w:rPr>
        <w:t>Cnesco</w:t>
      </w:r>
      <w:proofErr w:type="spellEnd"/>
      <w:r w:rsidRPr="00E857CA">
        <w:rPr>
          <w:rFonts w:ascii="Times New Roman" w:hAnsi="Times New Roman" w:cs="Times New Roman"/>
          <w:b/>
          <w:bCs/>
          <w:color w:val="000000" w:themeColor="text1"/>
          <w:sz w:val="24"/>
          <w:szCs w:val="24"/>
        </w:rPr>
        <w:t xml:space="preserve"> des 22 &amp; 23 novembre 2022</w:t>
      </w:r>
      <w:r>
        <w:rPr>
          <w:rFonts w:ascii="Times New Roman" w:hAnsi="Times New Roman" w:cs="Times New Roman"/>
          <w:b/>
          <w:bCs/>
          <w:color w:val="000000" w:themeColor="text1"/>
          <w:sz w:val="24"/>
          <w:szCs w:val="24"/>
        </w:rPr>
        <w:br/>
      </w:r>
      <w:hyperlink r:id="rId7" w:history="1">
        <w:r w:rsidRPr="00BA05DC">
          <w:rPr>
            <w:rStyle w:val="Lienhypertexte"/>
            <w:rFonts w:ascii="Times New Roman" w:hAnsi="Times New Roman" w:cs="Times New Roman"/>
            <w:b/>
            <w:bCs/>
            <w:sz w:val="24"/>
            <w:szCs w:val="24"/>
          </w:rPr>
          <w:t>https://www.cnesco.fr/evaluation-en-classe/</w:t>
        </w:r>
      </w:hyperlink>
      <w:r>
        <w:rPr>
          <w:rFonts w:ascii="Times New Roman" w:hAnsi="Times New Roman" w:cs="Times New Roman"/>
          <w:b/>
          <w:bCs/>
          <w:color w:val="000000" w:themeColor="text1"/>
          <w:sz w:val="24"/>
          <w:szCs w:val="24"/>
        </w:rPr>
        <w:t xml:space="preserve"> </w:t>
      </w:r>
    </w:p>
    <w:p w14:paraId="18073BC0" w14:textId="77777777" w:rsidR="0051199F" w:rsidRPr="0051199F" w:rsidRDefault="0051199F" w:rsidP="00151ADE">
      <w:pPr>
        <w:spacing w:after="150"/>
        <w:ind w:right="-290"/>
        <w:rPr>
          <w:rFonts w:ascii="Times New Roman" w:eastAsia="Times New Roman" w:hAnsi="Times New Roman" w:cs="Times New Roman"/>
          <w:color w:val="333333"/>
          <w:sz w:val="20"/>
          <w:szCs w:val="20"/>
          <w:lang w:eastAsia="fr-FR"/>
        </w:rPr>
      </w:pPr>
    </w:p>
    <w:p w14:paraId="688BFE67" w14:textId="77777777" w:rsidR="0051199F" w:rsidRPr="0051199F" w:rsidRDefault="0051199F" w:rsidP="00151ADE">
      <w:pPr>
        <w:spacing w:after="150"/>
        <w:ind w:right="-290"/>
        <w:jc w:val="both"/>
        <w:rPr>
          <w:rFonts w:ascii="Times New Roman" w:eastAsia="Times New Roman" w:hAnsi="Times New Roman" w:cs="Times New Roman"/>
          <w:color w:val="333333"/>
          <w:lang w:eastAsia="fr-FR"/>
        </w:rPr>
      </w:pPr>
      <w:r w:rsidRPr="0051199F">
        <w:rPr>
          <w:rFonts w:ascii="Times New Roman" w:eastAsia="Times New Roman" w:hAnsi="Times New Roman" w:cs="Times New Roman"/>
          <w:color w:val="333333"/>
          <w:lang w:eastAsia="fr-FR"/>
        </w:rPr>
        <w:t>Dans le quotidien des classes, l’évaluation est une activité courante qui recouvre une grande diversité de situations plus ou moins visibles. Lorsqu’un enseignant observe ses élèves en train de travailler ou qu’il prend connaissance de ce qu’ils ont fait en classe ou à la maison, quand il les interroge oralement, il évalue : pour ajuster son cours, guider les élèves dans une tâche, accompagner leurs progrès. Cette évaluation que pratiquent les enseignants au quotidien est ainsi un outil au service de l’apprentissage des élèves.</w:t>
      </w:r>
    </w:p>
    <w:p w14:paraId="5DABA476" w14:textId="77777777" w:rsidR="0051199F" w:rsidRPr="0051199F" w:rsidRDefault="0051199F" w:rsidP="00151ADE">
      <w:pPr>
        <w:spacing w:after="150"/>
        <w:ind w:right="-290"/>
        <w:jc w:val="both"/>
        <w:rPr>
          <w:rFonts w:ascii="Times New Roman" w:eastAsia="Times New Roman" w:hAnsi="Times New Roman" w:cs="Times New Roman"/>
          <w:color w:val="333333"/>
          <w:lang w:eastAsia="fr-FR"/>
        </w:rPr>
      </w:pPr>
      <w:r w:rsidRPr="0051199F">
        <w:rPr>
          <w:rFonts w:ascii="Times New Roman" w:eastAsia="Times New Roman" w:hAnsi="Times New Roman" w:cs="Times New Roman"/>
          <w:i/>
          <w:iCs/>
          <w:color w:val="333333"/>
          <w:lang w:eastAsia="fr-FR"/>
        </w:rPr>
        <w:t>Comment utiliser au mieux l’évaluation pour faire progresser tous les élèves ? Comment mettre en place une évaluation qui favorise des échanges entre parents et enseignants ? Comment limiter la comparaison entre élèves au profit d’une attention portée aux acquis de chacun ? Comment limiter les effets de l’évaluation sur les inégalités entre élèves selon leur genre, leur classe sociale ou leurs besoins éducatifs ? Et comment une évaluation destinée à mieux accompagner les élèves peut-elle prendre en compte les contraintes professionnelles des enseignants et le cadre institutionnel ? En somme, comment évaluer pour soutenir l’apprentissage des élèves ?</w:t>
      </w:r>
    </w:p>
    <w:p w14:paraId="1CD1240D" w14:textId="77777777" w:rsidR="0051199F" w:rsidRDefault="0051199F" w:rsidP="00151ADE">
      <w:pPr>
        <w:ind w:right="-290"/>
        <w:rPr>
          <w:rFonts w:ascii="Times New Roman" w:eastAsia="Times New Roman" w:hAnsi="Times New Roman" w:cs="Times New Roman"/>
          <w:color w:val="333333"/>
          <w:lang w:eastAsia="fr-FR"/>
        </w:rPr>
      </w:pPr>
      <w:r w:rsidRPr="0051199F">
        <w:rPr>
          <w:rFonts w:ascii="Times New Roman" w:eastAsia="Times New Roman" w:hAnsi="Times New Roman" w:cs="Times New Roman"/>
          <w:color w:val="333333"/>
          <w:lang w:eastAsia="fr-FR"/>
        </w:rPr>
        <w:t>Pour répondre à ces interrogations</w:t>
      </w:r>
      <w:r w:rsidR="008D3128">
        <w:rPr>
          <w:rFonts w:ascii="Times New Roman" w:eastAsia="Times New Roman" w:hAnsi="Times New Roman" w:cs="Times New Roman"/>
          <w:color w:val="333333"/>
          <w:lang w:eastAsia="fr-FR"/>
        </w:rPr>
        <w:t>,</w:t>
      </w:r>
      <w:r w:rsidRPr="0051199F">
        <w:rPr>
          <w:rFonts w:ascii="Times New Roman" w:eastAsia="Times New Roman" w:hAnsi="Times New Roman" w:cs="Times New Roman"/>
          <w:color w:val="333333"/>
          <w:lang w:eastAsia="fr-FR"/>
        </w:rPr>
        <w:t xml:space="preserve"> le</w:t>
      </w:r>
      <w:r w:rsidR="00E857CA">
        <w:rPr>
          <w:rFonts w:ascii="Times New Roman" w:eastAsia="Times New Roman" w:hAnsi="Times New Roman" w:cs="Times New Roman"/>
          <w:color w:val="333333"/>
          <w:lang w:eastAsia="fr-FR"/>
        </w:rPr>
        <w:t xml:space="preserve"> CNAM -</w:t>
      </w:r>
      <w:r w:rsidRPr="0051199F">
        <w:rPr>
          <w:rFonts w:ascii="Times New Roman" w:eastAsia="Times New Roman" w:hAnsi="Times New Roman" w:cs="Times New Roman"/>
          <w:color w:val="333333"/>
          <w:lang w:eastAsia="fr-FR"/>
        </w:rPr>
        <w:t xml:space="preserve"> </w:t>
      </w:r>
      <w:proofErr w:type="spellStart"/>
      <w:r w:rsidRPr="0051199F">
        <w:rPr>
          <w:rFonts w:ascii="Times New Roman" w:eastAsia="Times New Roman" w:hAnsi="Times New Roman" w:cs="Times New Roman"/>
          <w:color w:val="333333"/>
          <w:lang w:eastAsia="fr-FR"/>
        </w:rPr>
        <w:t>Cnesco</w:t>
      </w:r>
      <w:proofErr w:type="spellEnd"/>
      <w:r w:rsidRPr="0051199F">
        <w:rPr>
          <w:rFonts w:ascii="Times New Roman" w:eastAsia="Times New Roman" w:hAnsi="Times New Roman" w:cs="Times New Roman"/>
          <w:color w:val="333333"/>
          <w:lang w:eastAsia="fr-FR"/>
        </w:rPr>
        <w:t xml:space="preserve"> a organisé </w:t>
      </w:r>
      <w:r w:rsidRPr="0051199F">
        <w:rPr>
          <w:rFonts w:ascii="Times New Roman" w:eastAsia="Times New Roman" w:hAnsi="Times New Roman" w:cs="Times New Roman"/>
          <w:color w:val="333333"/>
          <w:shd w:val="clear" w:color="auto" w:fill="FFFFFF"/>
          <w:lang w:eastAsia="fr-FR"/>
        </w:rPr>
        <w:t>en partenariat avec </w:t>
      </w:r>
      <w:r w:rsidRPr="0051199F">
        <w:rPr>
          <w:rFonts w:ascii="Times New Roman" w:eastAsia="Times New Roman" w:hAnsi="Times New Roman" w:cs="Times New Roman"/>
          <w:color w:val="000000" w:themeColor="text1"/>
          <w:shd w:val="clear" w:color="auto" w:fill="FFFFFF"/>
          <w:lang w:eastAsia="fr-FR"/>
        </w:rPr>
        <w:t>l’</w:t>
      </w:r>
      <w:r w:rsidRPr="0051199F">
        <w:rPr>
          <w:rFonts w:ascii="Times New Roman" w:eastAsia="Times New Roman" w:hAnsi="Times New Roman" w:cs="Times New Roman"/>
          <w:color w:val="000000" w:themeColor="text1"/>
          <w:lang w:eastAsia="fr-FR"/>
        </w:rPr>
        <w:t xml:space="preserve">université Clermont Auvergne – </w:t>
      </w:r>
      <w:proofErr w:type="spellStart"/>
      <w:r w:rsidRPr="0051199F">
        <w:rPr>
          <w:rFonts w:ascii="Times New Roman" w:eastAsia="Times New Roman" w:hAnsi="Times New Roman" w:cs="Times New Roman"/>
          <w:color w:val="000000" w:themeColor="text1"/>
          <w:lang w:eastAsia="fr-FR"/>
        </w:rPr>
        <w:t>Inspé</w:t>
      </w:r>
      <w:proofErr w:type="spellEnd"/>
      <w:r w:rsidRPr="0051199F">
        <w:rPr>
          <w:rFonts w:ascii="Times New Roman" w:eastAsia="Times New Roman" w:hAnsi="Times New Roman" w:cs="Times New Roman"/>
          <w:color w:val="000000" w:themeColor="text1"/>
          <w:lang w:eastAsia="fr-FR"/>
        </w:rPr>
        <w:t xml:space="preserve"> de l’académie de Clermont-Ferrand</w:t>
      </w:r>
      <w:r w:rsidRPr="0051199F">
        <w:rPr>
          <w:rFonts w:ascii="Times New Roman" w:eastAsia="Times New Roman" w:hAnsi="Times New Roman" w:cs="Times New Roman"/>
          <w:color w:val="333333"/>
          <w:lang w:eastAsia="fr-FR"/>
        </w:rPr>
        <w:t xml:space="preserve">, </w:t>
      </w:r>
      <w:r w:rsidRPr="0051199F">
        <w:rPr>
          <w:rFonts w:ascii="Times New Roman" w:eastAsia="Times New Roman" w:hAnsi="Times New Roman" w:cs="Times New Roman"/>
          <w:color w:val="333333"/>
          <w:shd w:val="clear" w:color="auto" w:fill="FFFFFF"/>
          <w:lang w:eastAsia="fr-FR"/>
        </w:rPr>
        <w:t>les 23 et 24 novembre 2022,</w:t>
      </w:r>
      <w:r w:rsidRPr="0051199F">
        <w:rPr>
          <w:rFonts w:ascii="Times New Roman" w:eastAsia="Times New Roman" w:hAnsi="Times New Roman" w:cs="Times New Roman"/>
          <w:color w:val="333333"/>
          <w:lang w:eastAsia="fr-FR"/>
        </w:rPr>
        <w:t> une </w:t>
      </w:r>
      <w:r w:rsidRPr="0051199F">
        <w:rPr>
          <w:rFonts w:ascii="Times New Roman" w:eastAsia="Times New Roman" w:hAnsi="Times New Roman" w:cs="Times New Roman"/>
          <w:color w:val="000000" w:themeColor="text1"/>
          <w:lang w:eastAsia="fr-FR"/>
        </w:rPr>
        <w:t>conférence de consensus</w:t>
      </w:r>
      <w:r w:rsidR="008D3128">
        <w:rPr>
          <w:rStyle w:val="Appelnotedebasdep"/>
          <w:rFonts w:ascii="Times New Roman" w:eastAsia="Times New Roman" w:hAnsi="Times New Roman" w:cs="Times New Roman"/>
          <w:color w:val="000000" w:themeColor="text1"/>
          <w:lang w:eastAsia="fr-FR"/>
        </w:rPr>
        <w:footnoteReference w:id="1"/>
      </w:r>
      <w:r w:rsidRPr="0051199F">
        <w:rPr>
          <w:rFonts w:ascii="Times New Roman" w:eastAsia="Times New Roman" w:hAnsi="Times New Roman" w:cs="Times New Roman"/>
          <w:color w:val="000000" w:themeColor="text1"/>
          <w:lang w:eastAsia="fr-FR"/>
        </w:rPr>
        <w:t> </w:t>
      </w:r>
      <w:r w:rsidRPr="0051199F">
        <w:rPr>
          <w:rFonts w:ascii="Times New Roman" w:eastAsia="Times New Roman" w:hAnsi="Times New Roman" w:cs="Times New Roman"/>
          <w:color w:val="333333"/>
          <w:lang w:eastAsia="fr-FR"/>
        </w:rPr>
        <w:t>sur l’évaluation en classe, au service de l’apprentissage des élèves.</w:t>
      </w:r>
    </w:p>
    <w:p w14:paraId="1E60D0C1" w14:textId="77777777" w:rsidR="00927F9D" w:rsidRDefault="00927F9D" w:rsidP="00151ADE">
      <w:pPr>
        <w:ind w:right="-290"/>
        <w:rPr>
          <w:rFonts w:ascii="Times New Roman" w:eastAsia="Times New Roman" w:hAnsi="Times New Roman" w:cs="Times New Roman"/>
          <w:color w:val="333333"/>
          <w:lang w:eastAsia="fr-FR"/>
        </w:rPr>
      </w:pPr>
    </w:p>
    <w:p w14:paraId="03354147" w14:textId="77777777" w:rsidR="00927F9D" w:rsidRDefault="00927F9D" w:rsidP="00151ADE">
      <w:pPr>
        <w:ind w:right="-290"/>
        <w:rPr>
          <w:rFonts w:ascii="Times New Roman" w:eastAsia="Times New Roman" w:hAnsi="Times New Roman" w:cs="Times New Roman"/>
          <w:color w:val="333333"/>
          <w:lang w:eastAsia="fr-FR"/>
        </w:rPr>
      </w:pPr>
    </w:p>
    <w:p w14:paraId="2D15E702" w14:textId="77777777" w:rsidR="00927F9D" w:rsidRDefault="00927F9D" w:rsidP="00927F9D">
      <w:pPr>
        <w:spacing w:after="150"/>
        <w:ind w:right="-290"/>
        <w:jc w:val="center"/>
        <w:rPr>
          <w:rFonts w:ascii="Times New Roman" w:eastAsia="Times New Roman" w:hAnsi="Times New Roman" w:cs="Times New Roman"/>
          <w:color w:val="333333"/>
          <w:sz w:val="20"/>
          <w:szCs w:val="20"/>
          <w:lang w:eastAsia="fr-FR"/>
        </w:rPr>
      </w:pPr>
      <w:r w:rsidRPr="0051199F">
        <w:rPr>
          <w:rFonts w:ascii="Times New Roman" w:eastAsia="Times New Roman" w:hAnsi="Times New Roman" w:cs="Times New Roman"/>
          <w:color w:val="333333"/>
          <w:sz w:val="20"/>
          <w:szCs w:val="20"/>
          <w:lang w:eastAsia="fr-FR"/>
        </w:rPr>
        <w:t>Dossier de synthèse</w:t>
      </w:r>
      <w:r>
        <w:rPr>
          <w:rFonts w:ascii="Times New Roman" w:eastAsia="Times New Roman" w:hAnsi="Times New Roman" w:cs="Times New Roman"/>
          <w:color w:val="333333"/>
          <w:sz w:val="20"/>
          <w:szCs w:val="20"/>
          <w:lang w:eastAsia="fr-FR"/>
        </w:rPr>
        <w:br/>
      </w:r>
      <w:hyperlink r:id="rId8" w:history="1">
        <w:r w:rsidRPr="00BA05DC">
          <w:rPr>
            <w:rStyle w:val="Lienhypertexte"/>
            <w:rFonts w:ascii="Times New Roman" w:eastAsia="Times New Roman" w:hAnsi="Times New Roman" w:cs="Times New Roman"/>
            <w:sz w:val="20"/>
            <w:szCs w:val="20"/>
            <w:lang w:eastAsia="fr-FR"/>
          </w:rPr>
          <w:t>https://www.cnesco.fr/wp-content/uploads/2023/03/Cnesco-CC-Eval_Dossier-de-synthese.pdf</w:t>
        </w:r>
      </w:hyperlink>
    </w:p>
    <w:p w14:paraId="3C4C03A2" w14:textId="77777777" w:rsidR="00927F9D" w:rsidRDefault="00927F9D" w:rsidP="00927F9D">
      <w:pPr>
        <w:spacing w:after="150"/>
        <w:ind w:right="-290"/>
        <w:jc w:val="center"/>
        <w:rPr>
          <w:rFonts w:ascii="Times New Roman" w:eastAsia="Times New Roman" w:hAnsi="Times New Roman" w:cs="Times New Roman"/>
          <w:color w:val="333333"/>
          <w:sz w:val="20"/>
          <w:szCs w:val="20"/>
          <w:lang w:eastAsia="fr-FR"/>
        </w:rPr>
      </w:pPr>
      <w:r w:rsidRPr="0051199F">
        <w:rPr>
          <w:rFonts w:ascii="Times New Roman" w:eastAsia="Times New Roman" w:hAnsi="Times New Roman" w:cs="Times New Roman"/>
          <w:color w:val="333333"/>
          <w:sz w:val="20"/>
          <w:szCs w:val="20"/>
          <w:lang w:eastAsia="fr-FR"/>
        </w:rPr>
        <w:t>Ressources scientifiques</w:t>
      </w:r>
      <w:r>
        <w:rPr>
          <w:rFonts w:ascii="Times New Roman" w:eastAsia="Times New Roman" w:hAnsi="Times New Roman" w:cs="Times New Roman"/>
          <w:color w:val="333333"/>
          <w:sz w:val="20"/>
          <w:szCs w:val="20"/>
          <w:lang w:eastAsia="fr-FR"/>
        </w:rPr>
        <w:br/>
      </w:r>
      <w:hyperlink r:id="rId9" w:history="1">
        <w:r w:rsidRPr="00BA05DC">
          <w:rPr>
            <w:rStyle w:val="Lienhypertexte"/>
            <w:rFonts w:ascii="Times New Roman" w:eastAsia="Times New Roman" w:hAnsi="Times New Roman" w:cs="Times New Roman"/>
            <w:sz w:val="20"/>
            <w:szCs w:val="20"/>
            <w:lang w:eastAsia="fr-FR"/>
          </w:rPr>
          <w:t>https://www.cnesco.fr/evaluation-en-classe/ressources-scientifiques/</w:t>
        </w:r>
      </w:hyperlink>
    </w:p>
    <w:p w14:paraId="4B342868" w14:textId="77777777" w:rsidR="00927F9D" w:rsidRPr="00927F9D" w:rsidRDefault="00927F9D" w:rsidP="00927F9D">
      <w:pPr>
        <w:spacing w:after="150"/>
        <w:ind w:right="-290"/>
        <w:jc w:val="center"/>
        <w:rPr>
          <w:rFonts w:ascii="Times New Roman" w:eastAsia="Times New Roman" w:hAnsi="Times New Roman" w:cs="Times New Roman"/>
          <w:color w:val="333333"/>
          <w:sz w:val="20"/>
          <w:szCs w:val="20"/>
          <w:lang w:eastAsia="fr-FR"/>
        </w:rPr>
      </w:pPr>
      <w:r>
        <w:rPr>
          <w:rFonts w:ascii="Times New Roman" w:eastAsia="Times New Roman" w:hAnsi="Times New Roman" w:cs="Times New Roman"/>
          <w:color w:val="333333"/>
          <w:sz w:val="20"/>
          <w:szCs w:val="20"/>
          <w:lang w:eastAsia="fr-FR"/>
        </w:rPr>
        <w:t>Recommandation du Jury</w:t>
      </w:r>
      <w:r>
        <w:rPr>
          <w:rFonts w:ascii="Times New Roman" w:eastAsia="Times New Roman" w:hAnsi="Times New Roman" w:cs="Times New Roman"/>
          <w:color w:val="333333"/>
          <w:sz w:val="20"/>
          <w:szCs w:val="20"/>
          <w:lang w:eastAsia="fr-FR"/>
        </w:rPr>
        <w:br/>
      </w:r>
      <w:hyperlink r:id="rId10" w:history="1">
        <w:r w:rsidRPr="00BA05DC">
          <w:rPr>
            <w:rStyle w:val="Lienhypertexte"/>
            <w:rFonts w:ascii="Times New Roman" w:eastAsia="Times New Roman" w:hAnsi="Times New Roman" w:cs="Times New Roman"/>
            <w:sz w:val="20"/>
            <w:szCs w:val="20"/>
            <w:lang w:eastAsia="fr-FR"/>
          </w:rPr>
          <w:t>https://www.cnesco.fr/evaluation-en-classe/recommandations/</w:t>
        </w:r>
      </w:hyperlink>
    </w:p>
    <w:tbl>
      <w:tblPr>
        <w:tblStyle w:val="Grilledutableau"/>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927F9D" w14:paraId="26D25DEE" w14:textId="77777777" w:rsidTr="00111A07">
        <w:trPr>
          <w:trHeight w:val="80"/>
          <w:jc w:val="center"/>
        </w:trPr>
        <w:tc>
          <w:tcPr>
            <w:tcW w:w="7938" w:type="dxa"/>
            <w:vAlign w:val="center"/>
          </w:tcPr>
          <w:p w14:paraId="2AFEED5B" w14:textId="77777777" w:rsidR="00927F9D" w:rsidRDefault="00927F9D" w:rsidP="00111A07">
            <w:pPr>
              <w:spacing w:after="150"/>
              <w:ind w:right="-290"/>
              <w:jc w:val="center"/>
              <w:rPr>
                <w:rFonts w:ascii="Times New Roman" w:eastAsia="Times New Roman" w:hAnsi="Times New Roman" w:cs="Times New Roman"/>
                <w:color w:val="333333"/>
                <w:sz w:val="20"/>
                <w:szCs w:val="20"/>
                <w:lang w:eastAsia="fr-FR"/>
              </w:rPr>
            </w:pPr>
            <w:r>
              <w:rPr>
                <w:rFonts w:ascii="Times New Roman" w:eastAsia="Times New Roman" w:hAnsi="Times New Roman" w:cs="Times New Roman"/>
                <w:color w:val="333333"/>
                <w:sz w:val="20"/>
                <w:szCs w:val="20"/>
                <w:lang w:eastAsia="fr-FR"/>
              </w:rPr>
              <w:t>Pour visionner la conférence</w:t>
            </w:r>
            <w:r>
              <w:rPr>
                <w:rFonts w:ascii="Times New Roman" w:eastAsia="Times New Roman" w:hAnsi="Times New Roman" w:cs="Times New Roman"/>
                <w:color w:val="333333"/>
                <w:sz w:val="20"/>
                <w:szCs w:val="20"/>
                <w:lang w:eastAsia="fr-FR"/>
              </w:rPr>
              <w:br/>
            </w:r>
            <w:hyperlink r:id="rId11" w:history="1">
              <w:r w:rsidRPr="00BA05DC">
                <w:rPr>
                  <w:rStyle w:val="Lienhypertexte"/>
                  <w:rFonts w:ascii="Times New Roman" w:eastAsia="Times New Roman" w:hAnsi="Times New Roman" w:cs="Times New Roman"/>
                  <w:sz w:val="20"/>
                  <w:szCs w:val="20"/>
                  <w:lang w:eastAsia="fr-FR"/>
                </w:rPr>
                <w:t>https://www.youtube.com/playlist?list=PLWZT1gcRUA4rES9UxFMAB8MZa3yfPOuRT</w:t>
              </w:r>
            </w:hyperlink>
          </w:p>
          <w:p w14:paraId="10E49228" w14:textId="77777777" w:rsidR="00927F9D" w:rsidRPr="0032620D" w:rsidRDefault="00927F9D" w:rsidP="00111A07">
            <w:pPr>
              <w:pStyle w:val="NormalWeb"/>
              <w:ind w:right="-6"/>
              <w:jc w:val="center"/>
              <w:rPr>
                <w:color w:val="000000" w:themeColor="text1"/>
                <w:sz w:val="20"/>
                <w:szCs w:val="20"/>
              </w:rPr>
            </w:pPr>
            <w:r w:rsidRPr="0032620D">
              <w:rPr>
                <w:color w:val="000000" w:themeColor="text1"/>
                <w:sz w:val="20"/>
                <w:szCs w:val="20"/>
              </w:rPr>
              <w:t xml:space="preserve">Pour aller plus loin sur </w:t>
            </w:r>
            <w:r w:rsidRPr="00927F9D">
              <w:rPr>
                <w:b/>
                <w:color w:val="000000" w:themeColor="text1"/>
                <w:sz w:val="20"/>
                <w:szCs w:val="20"/>
                <w:u w:val="single"/>
              </w:rPr>
              <w:t>l’école inclusive et le handicap</w:t>
            </w:r>
            <w:r>
              <w:rPr>
                <w:b/>
                <w:color w:val="000000" w:themeColor="text1"/>
                <w:sz w:val="20"/>
                <w:szCs w:val="20"/>
                <w:u w:val="single"/>
              </w:rPr>
              <w:t> :</w:t>
            </w:r>
            <w:r w:rsidRPr="0032620D">
              <w:rPr>
                <w:color w:val="000000" w:themeColor="text1"/>
                <w:sz w:val="20"/>
                <w:szCs w:val="20"/>
              </w:rPr>
              <w:t xml:space="preserve"> </w:t>
            </w:r>
            <w:r w:rsidRPr="0032620D">
              <w:rPr>
                <w:bCs/>
                <w:color w:val="000000" w:themeColor="text1"/>
                <w:sz w:val="20"/>
                <w:szCs w:val="20"/>
              </w:rPr>
              <w:t xml:space="preserve">accessibilité, réussite scolaire et parcours individuels </w:t>
            </w:r>
            <w:r w:rsidRPr="0032620D">
              <w:rPr>
                <w:sz w:val="20"/>
                <w:szCs w:val="20"/>
              </w:rPr>
              <w:t>:</w:t>
            </w:r>
            <w:r w:rsidRPr="0032620D">
              <w:rPr>
                <w:sz w:val="20"/>
                <w:szCs w:val="20"/>
              </w:rPr>
              <w:br/>
            </w:r>
            <w:hyperlink r:id="rId12" w:history="1">
              <w:r w:rsidRPr="0032620D">
                <w:rPr>
                  <w:rStyle w:val="Lienhypertexte"/>
                  <w:sz w:val="20"/>
                  <w:szCs w:val="20"/>
                </w:rPr>
                <w:t>https://www.cnesco.fr/wp-content/uploads/2015/12/rapport_handicap.pdf</w:t>
              </w:r>
            </w:hyperlink>
          </w:p>
          <w:p w14:paraId="2BC7B0B2" w14:textId="77777777" w:rsidR="00927F9D" w:rsidRDefault="00927F9D" w:rsidP="00111A07">
            <w:pPr>
              <w:spacing w:after="150"/>
              <w:ind w:right="-290"/>
              <w:jc w:val="center"/>
              <w:rPr>
                <w:rFonts w:ascii="Times New Roman" w:eastAsia="Times New Roman" w:hAnsi="Times New Roman" w:cs="Times New Roman"/>
                <w:color w:val="333333"/>
                <w:sz w:val="20"/>
                <w:szCs w:val="20"/>
                <w:lang w:eastAsia="fr-FR"/>
              </w:rPr>
            </w:pPr>
          </w:p>
        </w:tc>
      </w:tr>
    </w:tbl>
    <w:p w14:paraId="6F6A2EF4" w14:textId="77777777" w:rsidR="00E857CA" w:rsidRPr="0051199F" w:rsidRDefault="00E857CA" w:rsidP="00927F9D">
      <w:pPr>
        <w:ind w:right="-290"/>
        <w:rPr>
          <w:rFonts w:ascii="Times New Roman" w:hAnsi="Times New Roman" w:cs="Times New Roman"/>
        </w:rPr>
      </w:pPr>
    </w:p>
    <w:sectPr w:rsidR="00E857CA" w:rsidRPr="0051199F" w:rsidSect="00927F9D">
      <w:pgSz w:w="11900" w:h="16840"/>
      <w:pgMar w:top="619" w:right="1417" w:bottom="8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8863" w14:textId="77777777" w:rsidR="00096884" w:rsidRDefault="00096884" w:rsidP="008D3128">
      <w:r>
        <w:separator/>
      </w:r>
    </w:p>
  </w:endnote>
  <w:endnote w:type="continuationSeparator" w:id="0">
    <w:p w14:paraId="4F9CF8C5" w14:textId="77777777" w:rsidR="00096884" w:rsidRDefault="00096884" w:rsidP="008D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2905" w14:textId="77777777" w:rsidR="00096884" w:rsidRDefault="00096884" w:rsidP="008D3128">
      <w:r>
        <w:separator/>
      </w:r>
    </w:p>
  </w:footnote>
  <w:footnote w:type="continuationSeparator" w:id="0">
    <w:p w14:paraId="2A63E3DB" w14:textId="77777777" w:rsidR="00096884" w:rsidRDefault="00096884" w:rsidP="008D3128">
      <w:r>
        <w:continuationSeparator/>
      </w:r>
    </w:p>
  </w:footnote>
  <w:footnote w:id="1">
    <w:p w14:paraId="7B762CBA" w14:textId="77777777" w:rsidR="008D3128" w:rsidRDefault="008D3128">
      <w:pPr>
        <w:pStyle w:val="Notedebasdepage"/>
      </w:pPr>
      <w:r>
        <w:rPr>
          <w:rStyle w:val="Appelnotedebasdep"/>
        </w:rPr>
        <w:footnoteRef/>
      </w:r>
      <w:r>
        <w:t xml:space="preserve"> Le </w:t>
      </w:r>
      <w:proofErr w:type="spellStart"/>
      <w:r>
        <w:t>Cnesco</w:t>
      </w:r>
      <w:proofErr w:type="spellEnd"/>
      <w:r>
        <w:t xml:space="preserve"> organise régulièrement </w:t>
      </w:r>
      <w:r w:rsidR="00271055">
        <w:t>quatre</w:t>
      </w:r>
      <w:r>
        <w:t xml:space="preserve"> types de conf</w:t>
      </w:r>
      <w:r w:rsidR="00271055">
        <w:t>é</w:t>
      </w:r>
      <w:r>
        <w:t>re</w:t>
      </w:r>
      <w:r w:rsidR="00271055">
        <w:t>nce</w:t>
      </w:r>
      <w:r>
        <w:t>s :</w:t>
      </w:r>
      <w:r w:rsidR="00F425CD">
        <w:br/>
        <w:t xml:space="preserve">a) des conférence </w:t>
      </w:r>
      <w:r w:rsidR="00F425CD" w:rsidRPr="00F425CD">
        <w:rPr>
          <w:b/>
        </w:rPr>
        <w:t>de consensus</w:t>
      </w:r>
      <w:r w:rsidR="00F425CD">
        <w:t> : des scientifiques, des acteurs de terrain, un jury qui formule des recommandations</w:t>
      </w:r>
    </w:p>
    <w:p w14:paraId="7F9ECD75" w14:textId="77777777" w:rsidR="00F425CD" w:rsidRDefault="00F425CD">
      <w:pPr>
        <w:pStyle w:val="Notedebasdepage"/>
      </w:pPr>
      <w:r>
        <w:t xml:space="preserve">b) des conférences </w:t>
      </w:r>
      <w:r w:rsidRPr="00F425CD">
        <w:rPr>
          <w:b/>
        </w:rPr>
        <w:t>de comparaisons internationales</w:t>
      </w:r>
      <w:r>
        <w:t> : des membres des communautés éducatives et des décideurs publics travaillent en ateliers participatifs en s’appuyant sur des travaux scientifiques pour faire émerger des pistes de préconisations concrètes (principalement en direction des politiques publiques)</w:t>
      </w:r>
    </w:p>
    <w:p w14:paraId="0A3D054E" w14:textId="77777777" w:rsidR="00F425CD" w:rsidRPr="00271055" w:rsidRDefault="00F425CD">
      <w:pPr>
        <w:pStyle w:val="Notedebasdepage"/>
        <w:rPr>
          <w:rFonts w:ascii="Times New Roman" w:hAnsi="Times New Roman" w:cs="Times New Roman"/>
          <w:color w:val="000000" w:themeColor="text1"/>
        </w:rPr>
      </w:pPr>
      <w:r>
        <w:t xml:space="preserve">c) des conférences </w:t>
      </w:r>
      <w:r w:rsidRPr="00F425CD">
        <w:rPr>
          <w:b/>
        </w:rPr>
        <w:t>virtuelles</w:t>
      </w:r>
      <w:r>
        <w:rPr>
          <w:b/>
        </w:rPr>
        <w:t> </w:t>
      </w:r>
      <w:r>
        <w:t xml:space="preserve">: échanges en direct et à distance entre </w:t>
      </w:r>
      <w:r w:rsidR="00271055">
        <w:t>des experts d’une thématiques</w:t>
      </w:r>
      <w:r>
        <w:t xml:space="preserve"> et </w:t>
      </w:r>
      <w:r w:rsidR="00271055">
        <w:t xml:space="preserve">des acteurs </w:t>
      </w:r>
      <w:r w:rsidR="00271055" w:rsidRPr="00271055">
        <w:rPr>
          <w:rFonts w:ascii="Times New Roman" w:hAnsi="Times New Roman" w:cs="Times New Roman"/>
          <w:color w:val="000000" w:themeColor="text1"/>
        </w:rPr>
        <w:t xml:space="preserve">de terrains pour questionner les recommandations du </w:t>
      </w:r>
      <w:proofErr w:type="spellStart"/>
      <w:r w:rsidR="00271055" w:rsidRPr="00271055">
        <w:rPr>
          <w:rFonts w:ascii="Times New Roman" w:hAnsi="Times New Roman" w:cs="Times New Roman"/>
          <w:color w:val="000000" w:themeColor="text1"/>
        </w:rPr>
        <w:t>Cnesco</w:t>
      </w:r>
      <w:proofErr w:type="spellEnd"/>
      <w:r w:rsidR="00271055" w:rsidRPr="00271055">
        <w:rPr>
          <w:rFonts w:ascii="Times New Roman" w:hAnsi="Times New Roman" w:cs="Times New Roman"/>
          <w:color w:val="000000" w:themeColor="text1"/>
        </w:rPr>
        <w:t xml:space="preserve"> et analyser leur mise en œuvre.</w:t>
      </w:r>
    </w:p>
    <w:p w14:paraId="6201484B" w14:textId="77777777" w:rsidR="00271055" w:rsidRPr="00271055" w:rsidRDefault="00271055" w:rsidP="00271055">
      <w:pPr>
        <w:rPr>
          <w:rFonts w:ascii="Times New Roman" w:eastAsia="Times New Roman" w:hAnsi="Times New Roman" w:cs="Times New Roman"/>
          <w:color w:val="000000" w:themeColor="text1"/>
          <w:sz w:val="20"/>
          <w:szCs w:val="20"/>
          <w:lang w:eastAsia="fr-FR"/>
        </w:rPr>
      </w:pPr>
      <w:r w:rsidRPr="00271055">
        <w:rPr>
          <w:rFonts w:ascii="Times New Roman" w:hAnsi="Times New Roman" w:cs="Times New Roman"/>
          <w:color w:val="000000" w:themeColor="text1"/>
          <w:sz w:val="20"/>
          <w:szCs w:val="20"/>
        </w:rPr>
        <w:t xml:space="preserve">d) des conférences </w:t>
      </w:r>
      <w:r w:rsidRPr="00271055">
        <w:rPr>
          <w:rFonts w:ascii="Times New Roman" w:hAnsi="Times New Roman" w:cs="Times New Roman"/>
          <w:b/>
          <w:color w:val="000000" w:themeColor="text1"/>
          <w:sz w:val="20"/>
          <w:szCs w:val="20"/>
        </w:rPr>
        <w:t>jumelles</w:t>
      </w:r>
      <w:r w:rsidRPr="00271055">
        <w:rPr>
          <w:rFonts w:ascii="Times New Roman" w:hAnsi="Times New Roman" w:cs="Times New Roman"/>
          <w:color w:val="000000" w:themeColor="text1"/>
          <w:sz w:val="20"/>
          <w:szCs w:val="20"/>
        </w:rPr>
        <w:t xml:space="preserve"> : soit dans un partenariat avec une entité locale (Académie, </w:t>
      </w:r>
      <w:proofErr w:type="spellStart"/>
      <w:r w:rsidRPr="00271055">
        <w:rPr>
          <w:rFonts w:ascii="Times New Roman" w:hAnsi="Times New Roman" w:cs="Times New Roman"/>
          <w:color w:val="000000" w:themeColor="text1"/>
          <w:sz w:val="20"/>
          <w:szCs w:val="20"/>
        </w:rPr>
        <w:t>Inspé</w:t>
      </w:r>
      <w:proofErr w:type="spellEnd"/>
      <w:r w:rsidRPr="00271055">
        <w:rPr>
          <w:rFonts w:ascii="Times New Roman" w:hAnsi="Times New Roman" w:cs="Times New Roman"/>
          <w:color w:val="000000" w:themeColor="text1"/>
          <w:sz w:val="20"/>
          <w:szCs w:val="20"/>
        </w:rPr>
        <w:t xml:space="preserve">, …) ou internationale, </w:t>
      </w:r>
      <w:r w:rsidRPr="00271055">
        <w:rPr>
          <w:rFonts w:ascii="Times New Roman" w:eastAsia="Times New Roman" w:hAnsi="Times New Roman" w:cs="Times New Roman"/>
          <w:color w:val="000000" w:themeColor="text1"/>
          <w:sz w:val="20"/>
          <w:szCs w:val="20"/>
          <w:shd w:val="clear" w:color="auto" w:fill="FFFFFF"/>
          <w:lang w:eastAsia="fr-FR"/>
        </w:rPr>
        <w:t xml:space="preserve">les ressources scientifiques et la méthodologie établie lors des conférences menées par le </w:t>
      </w:r>
      <w:proofErr w:type="spellStart"/>
      <w:r w:rsidRPr="00271055">
        <w:rPr>
          <w:rFonts w:ascii="Times New Roman" w:eastAsia="Times New Roman" w:hAnsi="Times New Roman" w:cs="Times New Roman"/>
          <w:color w:val="000000" w:themeColor="text1"/>
          <w:sz w:val="20"/>
          <w:szCs w:val="20"/>
          <w:shd w:val="clear" w:color="auto" w:fill="FFFFFF"/>
          <w:lang w:eastAsia="fr-FR"/>
        </w:rPr>
        <w:t>Cnesco</w:t>
      </w:r>
      <w:proofErr w:type="spellEnd"/>
      <w:r w:rsidRPr="00271055">
        <w:rPr>
          <w:rFonts w:ascii="Times New Roman" w:eastAsia="Times New Roman" w:hAnsi="Times New Roman" w:cs="Times New Roman"/>
          <w:color w:val="000000" w:themeColor="text1"/>
          <w:sz w:val="20"/>
          <w:szCs w:val="20"/>
          <w:shd w:val="clear" w:color="auto" w:fill="FFFFFF"/>
          <w:lang w:eastAsia="fr-FR"/>
        </w:rPr>
        <w:t xml:space="preserve"> sont partagées, afin de </w:t>
      </w:r>
      <w:r w:rsidRPr="00271055">
        <w:rPr>
          <w:rFonts w:ascii="Times New Roman" w:eastAsia="Times New Roman" w:hAnsi="Times New Roman" w:cs="Times New Roman"/>
          <w:color w:val="000000" w:themeColor="text1"/>
          <w:sz w:val="20"/>
          <w:szCs w:val="20"/>
          <w:lang w:eastAsia="fr-FR"/>
        </w:rPr>
        <w:t>développer des dispositifs mis en œuvre par les pilotes de la formation en territoire</w:t>
      </w:r>
      <w:r w:rsidRPr="00271055">
        <w:rPr>
          <w:rFonts w:ascii="Times New Roman" w:eastAsia="Times New Roman" w:hAnsi="Times New Roman" w:cs="Times New Roman"/>
          <w:color w:val="000000" w:themeColor="text1"/>
          <w:sz w:val="20"/>
          <w:szCs w:val="20"/>
          <w:shd w:val="clear" w:color="auto" w:fill="FFFFFF"/>
          <w:lang w:eastAsia="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9F"/>
    <w:rsid w:val="00096884"/>
    <w:rsid w:val="00151ADE"/>
    <w:rsid w:val="00171323"/>
    <w:rsid w:val="001916A1"/>
    <w:rsid w:val="00244C8C"/>
    <w:rsid w:val="00255FAC"/>
    <w:rsid w:val="00271055"/>
    <w:rsid w:val="002A3484"/>
    <w:rsid w:val="0032620D"/>
    <w:rsid w:val="003E5C88"/>
    <w:rsid w:val="0051199F"/>
    <w:rsid w:val="00601BF5"/>
    <w:rsid w:val="00632874"/>
    <w:rsid w:val="00646697"/>
    <w:rsid w:val="007F324E"/>
    <w:rsid w:val="0083486A"/>
    <w:rsid w:val="008D3128"/>
    <w:rsid w:val="00927F9D"/>
    <w:rsid w:val="009D6CDC"/>
    <w:rsid w:val="00A94C36"/>
    <w:rsid w:val="00BF6527"/>
    <w:rsid w:val="00CB447D"/>
    <w:rsid w:val="00D52B6B"/>
    <w:rsid w:val="00D634FF"/>
    <w:rsid w:val="00E13766"/>
    <w:rsid w:val="00E857CA"/>
    <w:rsid w:val="00EA4918"/>
    <w:rsid w:val="00F425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3862"/>
  <w14:defaultImageDpi w14:val="32767"/>
  <w15:chartTrackingRefBased/>
  <w15:docId w15:val="{24C4796C-AF8F-CB41-BBF3-20073446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119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51199F"/>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1199F"/>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51199F"/>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51199F"/>
  </w:style>
  <w:style w:type="character" w:styleId="lev">
    <w:name w:val="Strong"/>
    <w:basedOn w:val="Policepardfaut"/>
    <w:uiPriority w:val="22"/>
    <w:qFormat/>
    <w:rsid w:val="0051199F"/>
    <w:rPr>
      <w:b/>
      <w:bCs/>
    </w:rPr>
  </w:style>
  <w:style w:type="character" w:styleId="Accentuation">
    <w:name w:val="Emphasis"/>
    <w:basedOn w:val="Policepardfaut"/>
    <w:uiPriority w:val="20"/>
    <w:qFormat/>
    <w:rsid w:val="0051199F"/>
    <w:rPr>
      <w:i/>
      <w:iCs/>
    </w:rPr>
  </w:style>
  <w:style w:type="character" w:styleId="Lienhypertexte">
    <w:name w:val="Hyperlink"/>
    <w:basedOn w:val="Policepardfaut"/>
    <w:uiPriority w:val="99"/>
    <w:unhideWhenUsed/>
    <w:rsid w:val="0051199F"/>
    <w:rPr>
      <w:color w:val="0000FF"/>
      <w:u w:val="single"/>
    </w:rPr>
  </w:style>
  <w:style w:type="character" w:customStyle="1" w:styleId="Titre1Car">
    <w:name w:val="Titre 1 Car"/>
    <w:basedOn w:val="Policepardfaut"/>
    <w:link w:val="Titre1"/>
    <w:uiPriority w:val="9"/>
    <w:rsid w:val="0051199F"/>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rsid w:val="0051199F"/>
    <w:rPr>
      <w:color w:val="605E5C"/>
      <w:shd w:val="clear" w:color="auto" w:fill="E1DFDD"/>
    </w:rPr>
  </w:style>
  <w:style w:type="table" w:styleId="Grilledutableau">
    <w:name w:val="Table Grid"/>
    <w:basedOn w:val="TableauNormal"/>
    <w:uiPriority w:val="39"/>
    <w:rsid w:val="0051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2620D"/>
    <w:rPr>
      <w:color w:val="954F72" w:themeColor="followedHyperlink"/>
      <w:u w:val="single"/>
    </w:rPr>
  </w:style>
  <w:style w:type="paragraph" w:styleId="Notedebasdepage">
    <w:name w:val="footnote text"/>
    <w:basedOn w:val="Normal"/>
    <w:link w:val="NotedebasdepageCar"/>
    <w:uiPriority w:val="99"/>
    <w:semiHidden/>
    <w:unhideWhenUsed/>
    <w:rsid w:val="008D3128"/>
    <w:rPr>
      <w:sz w:val="20"/>
      <w:szCs w:val="20"/>
    </w:rPr>
  </w:style>
  <w:style w:type="character" w:customStyle="1" w:styleId="NotedebasdepageCar">
    <w:name w:val="Note de bas de page Car"/>
    <w:basedOn w:val="Policepardfaut"/>
    <w:link w:val="Notedebasdepage"/>
    <w:uiPriority w:val="99"/>
    <w:semiHidden/>
    <w:rsid w:val="008D3128"/>
    <w:rPr>
      <w:sz w:val="20"/>
      <w:szCs w:val="20"/>
    </w:rPr>
  </w:style>
  <w:style w:type="character" w:styleId="Appelnotedebasdep">
    <w:name w:val="footnote reference"/>
    <w:basedOn w:val="Policepardfaut"/>
    <w:uiPriority w:val="99"/>
    <w:semiHidden/>
    <w:unhideWhenUsed/>
    <w:rsid w:val="008D31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1629">
      <w:bodyDiv w:val="1"/>
      <w:marLeft w:val="0"/>
      <w:marRight w:val="0"/>
      <w:marTop w:val="0"/>
      <w:marBottom w:val="0"/>
      <w:divBdr>
        <w:top w:val="none" w:sz="0" w:space="0" w:color="auto"/>
        <w:left w:val="none" w:sz="0" w:space="0" w:color="auto"/>
        <w:bottom w:val="none" w:sz="0" w:space="0" w:color="auto"/>
        <w:right w:val="none" w:sz="0" w:space="0" w:color="auto"/>
      </w:divBdr>
      <w:divsChild>
        <w:div w:id="596524110">
          <w:marLeft w:val="0"/>
          <w:marRight w:val="0"/>
          <w:marTop w:val="0"/>
          <w:marBottom w:val="0"/>
          <w:divBdr>
            <w:top w:val="none" w:sz="0" w:space="0" w:color="auto"/>
            <w:left w:val="none" w:sz="0" w:space="0" w:color="auto"/>
            <w:bottom w:val="none" w:sz="0" w:space="0" w:color="auto"/>
            <w:right w:val="none" w:sz="0" w:space="0" w:color="auto"/>
          </w:divBdr>
          <w:divsChild>
            <w:div w:id="890311729">
              <w:marLeft w:val="0"/>
              <w:marRight w:val="0"/>
              <w:marTop w:val="0"/>
              <w:marBottom w:val="0"/>
              <w:divBdr>
                <w:top w:val="none" w:sz="0" w:space="0" w:color="auto"/>
                <w:left w:val="none" w:sz="0" w:space="0" w:color="auto"/>
                <w:bottom w:val="none" w:sz="0" w:space="0" w:color="auto"/>
                <w:right w:val="none" w:sz="0" w:space="0" w:color="auto"/>
              </w:divBdr>
              <w:divsChild>
                <w:div w:id="13685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6499">
      <w:bodyDiv w:val="1"/>
      <w:marLeft w:val="0"/>
      <w:marRight w:val="0"/>
      <w:marTop w:val="0"/>
      <w:marBottom w:val="0"/>
      <w:divBdr>
        <w:top w:val="none" w:sz="0" w:space="0" w:color="auto"/>
        <w:left w:val="none" w:sz="0" w:space="0" w:color="auto"/>
        <w:bottom w:val="none" w:sz="0" w:space="0" w:color="auto"/>
        <w:right w:val="none" w:sz="0" w:space="0" w:color="auto"/>
      </w:divBdr>
    </w:div>
    <w:div w:id="1510870156">
      <w:bodyDiv w:val="1"/>
      <w:marLeft w:val="0"/>
      <w:marRight w:val="0"/>
      <w:marTop w:val="0"/>
      <w:marBottom w:val="0"/>
      <w:divBdr>
        <w:top w:val="none" w:sz="0" w:space="0" w:color="auto"/>
        <w:left w:val="none" w:sz="0" w:space="0" w:color="auto"/>
        <w:bottom w:val="none" w:sz="0" w:space="0" w:color="auto"/>
        <w:right w:val="none" w:sz="0" w:space="0" w:color="auto"/>
      </w:divBdr>
    </w:div>
    <w:div w:id="1628509595">
      <w:bodyDiv w:val="1"/>
      <w:marLeft w:val="0"/>
      <w:marRight w:val="0"/>
      <w:marTop w:val="0"/>
      <w:marBottom w:val="0"/>
      <w:divBdr>
        <w:top w:val="none" w:sz="0" w:space="0" w:color="auto"/>
        <w:left w:val="none" w:sz="0" w:space="0" w:color="auto"/>
        <w:bottom w:val="none" w:sz="0" w:space="0" w:color="auto"/>
        <w:right w:val="none" w:sz="0" w:space="0" w:color="auto"/>
      </w:divBdr>
    </w:div>
    <w:div w:id="1707490214">
      <w:bodyDiv w:val="1"/>
      <w:marLeft w:val="0"/>
      <w:marRight w:val="0"/>
      <w:marTop w:val="0"/>
      <w:marBottom w:val="0"/>
      <w:divBdr>
        <w:top w:val="none" w:sz="0" w:space="0" w:color="auto"/>
        <w:left w:val="none" w:sz="0" w:space="0" w:color="auto"/>
        <w:bottom w:val="none" w:sz="0" w:space="0" w:color="auto"/>
        <w:right w:val="none" w:sz="0" w:space="0" w:color="auto"/>
      </w:divBdr>
      <w:divsChild>
        <w:div w:id="1673756655">
          <w:marLeft w:val="0"/>
          <w:marRight w:val="0"/>
          <w:marTop w:val="0"/>
          <w:marBottom w:val="0"/>
          <w:divBdr>
            <w:top w:val="none" w:sz="0" w:space="0" w:color="auto"/>
            <w:left w:val="none" w:sz="0" w:space="0" w:color="auto"/>
            <w:bottom w:val="none" w:sz="0" w:space="0" w:color="auto"/>
            <w:right w:val="none" w:sz="0" w:space="0" w:color="auto"/>
          </w:divBdr>
          <w:divsChild>
            <w:div w:id="666248833">
              <w:marLeft w:val="0"/>
              <w:marRight w:val="0"/>
              <w:marTop w:val="0"/>
              <w:marBottom w:val="0"/>
              <w:divBdr>
                <w:top w:val="none" w:sz="0" w:space="0" w:color="auto"/>
                <w:left w:val="none" w:sz="0" w:space="0" w:color="auto"/>
                <w:bottom w:val="none" w:sz="0" w:space="0" w:color="auto"/>
                <w:right w:val="none" w:sz="0" w:space="0" w:color="auto"/>
              </w:divBdr>
            </w:div>
            <w:div w:id="1167206709">
              <w:marLeft w:val="0"/>
              <w:marRight w:val="0"/>
              <w:marTop w:val="0"/>
              <w:marBottom w:val="0"/>
              <w:divBdr>
                <w:top w:val="none" w:sz="0" w:space="0" w:color="auto"/>
                <w:left w:val="none" w:sz="0" w:space="0" w:color="auto"/>
                <w:bottom w:val="none" w:sz="0" w:space="0" w:color="auto"/>
                <w:right w:val="none" w:sz="0" w:space="0" w:color="auto"/>
              </w:divBdr>
            </w:div>
          </w:divsChild>
        </w:div>
        <w:div w:id="1903980668">
          <w:marLeft w:val="0"/>
          <w:marRight w:val="0"/>
          <w:marTop w:val="0"/>
          <w:marBottom w:val="0"/>
          <w:divBdr>
            <w:top w:val="none" w:sz="0" w:space="0" w:color="auto"/>
            <w:left w:val="none" w:sz="0" w:space="0" w:color="auto"/>
            <w:bottom w:val="none" w:sz="0" w:space="0" w:color="auto"/>
            <w:right w:val="none" w:sz="0" w:space="0" w:color="auto"/>
          </w:divBdr>
          <w:divsChild>
            <w:div w:id="411853200">
              <w:marLeft w:val="0"/>
              <w:marRight w:val="0"/>
              <w:marTop w:val="0"/>
              <w:marBottom w:val="0"/>
              <w:divBdr>
                <w:top w:val="none" w:sz="0" w:space="0" w:color="auto"/>
                <w:left w:val="none" w:sz="0" w:space="0" w:color="auto"/>
                <w:bottom w:val="none" w:sz="0" w:space="0" w:color="auto"/>
                <w:right w:val="none" w:sz="0" w:space="0" w:color="auto"/>
              </w:divBdr>
            </w:div>
            <w:div w:id="1762992203">
              <w:marLeft w:val="0"/>
              <w:marRight w:val="0"/>
              <w:marTop w:val="0"/>
              <w:marBottom w:val="0"/>
              <w:divBdr>
                <w:top w:val="none" w:sz="0" w:space="0" w:color="auto"/>
                <w:left w:val="none" w:sz="0" w:space="0" w:color="auto"/>
                <w:bottom w:val="none" w:sz="0" w:space="0" w:color="auto"/>
                <w:right w:val="none" w:sz="0" w:space="0" w:color="auto"/>
              </w:divBdr>
            </w:div>
            <w:div w:id="86510028">
              <w:marLeft w:val="0"/>
              <w:marRight w:val="0"/>
              <w:marTop w:val="0"/>
              <w:marBottom w:val="0"/>
              <w:divBdr>
                <w:top w:val="none" w:sz="0" w:space="0" w:color="auto"/>
                <w:left w:val="none" w:sz="0" w:space="0" w:color="auto"/>
                <w:bottom w:val="none" w:sz="0" w:space="0" w:color="auto"/>
                <w:right w:val="none" w:sz="0" w:space="0" w:color="auto"/>
              </w:divBdr>
              <w:divsChild>
                <w:div w:id="1863200504">
                  <w:marLeft w:val="0"/>
                  <w:marRight w:val="0"/>
                  <w:marTop w:val="0"/>
                  <w:marBottom w:val="300"/>
                  <w:divBdr>
                    <w:top w:val="single" w:sz="6" w:space="0" w:color="D9534F"/>
                    <w:left w:val="single" w:sz="6" w:space="0" w:color="D9534F"/>
                    <w:bottom w:val="single" w:sz="6" w:space="0" w:color="D9534F"/>
                    <w:right w:val="single" w:sz="6" w:space="0" w:color="D9534F"/>
                  </w:divBdr>
                  <w:divsChild>
                    <w:div w:id="1816682070">
                      <w:marLeft w:val="0"/>
                      <w:marRight w:val="0"/>
                      <w:marTop w:val="0"/>
                      <w:marBottom w:val="0"/>
                      <w:divBdr>
                        <w:top w:val="none" w:sz="0" w:space="8" w:color="D9534F"/>
                        <w:left w:val="none" w:sz="0" w:space="11" w:color="D9534F"/>
                        <w:bottom w:val="single" w:sz="6" w:space="8" w:color="D9534F"/>
                        <w:right w:val="none" w:sz="0" w:space="11" w:color="D9534F"/>
                      </w:divBdr>
                    </w:div>
                    <w:div w:id="10266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esco.fr/wp-content/uploads/2023/03/Cnesco-CC-Eval_Dossier-de-synthes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esco.fr/evaluation-en-classe/" TargetMode="External"/><Relationship Id="rId12" Type="http://schemas.openxmlformats.org/officeDocument/2006/relationships/hyperlink" Target="https://www.cnesco.fr/wp-content/uploads/2015/12/rapport_handicap.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playlist?list=PLWZT1gcRUA4rES9UxFMAB8MZa3yfPOuRT" TargetMode="External"/><Relationship Id="rId5" Type="http://schemas.openxmlformats.org/officeDocument/2006/relationships/footnotes" Target="footnotes.xml"/><Relationship Id="rId10" Type="http://schemas.openxmlformats.org/officeDocument/2006/relationships/hyperlink" Target="https://www.cnesco.fr/evaluation-en-classe/recommandations/" TargetMode="External"/><Relationship Id="rId4" Type="http://schemas.openxmlformats.org/officeDocument/2006/relationships/webSettings" Target="webSettings.xml"/><Relationship Id="rId9" Type="http://schemas.openxmlformats.org/officeDocument/2006/relationships/hyperlink" Target="https://www.cnesco.fr/evaluation-en-classe/ressources-scientifiqu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BBD78-33F4-B74B-B453-89364DFC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 MENSDORFF-POUILLY</dc:creator>
  <cp:keywords/>
  <dc:description/>
  <cp:lastModifiedBy>philippe Colin madan</cp:lastModifiedBy>
  <cp:revision>2</cp:revision>
  <dcterms:created xsi:type="dcterms:W3CDTF">2023-03-28T10:03:00Z</dcterms:created>
  <dcterms:modified xsi:type="dcterms:W3CDTF">2023-03-28T10:03:00Z</dcterms:modified>
</cp:coreProperties>
</file>