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EBD15" w14:textId="1C1440D3" w:rsidR="001D1347" w:rsidRDefault="001D1347" w:rsidP="001D1347">
      <w:pPr>
        <w:jc w:val="center"/>
        <w:rPr>
          <w:rFonts w:ascii="Helvetica" w:hAnsi="Helvetica" w:cs="Helvetica"/>
          <w:noProof/>
        </w:rPr>
      </w:pPr>
      <w:r w:rsidRPr="001D1347">
        <w:rPr>
          <w:rFonts w:ascii="Helvetica" w:hAnsi="Helvetica" w:cs="Helvetica"/>
          <w:noProof/>
        </w:rPr>
        <w:drawing>
          <wp:inline distT="0" distB="0" distL="0" distR="0" wp14:anchorId="179027BA" wp14:editId="30BBCE66">
            <wp:extent cx="3291840" cy="3999480"/>
            <wp:effectExtent l="0" t="0" r="381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43" cy="40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D121" w14:textId="77777777" w:rsidR="001D1347" w:rsidRDefault="001D1347" w:rsidP="005C197A">
      <w:pPr>
        <w:jc w:val="both"/>
        <w:rPr>
          <w:rFonts w:ascii="Helvetica" w:hAnsi="Helvetica" w:cs="Helvetica"/>
          <w:noProof/>
        </w:rPr>
      </w:pPr>
    </w:p>
    <w:p w14:paraId="2F184C6F" w14:textId="77777777" w:rsidR="001D1347" w:rsidRDefault="001D1347" w:rsidP="005C197A">
      <w:pPr>
        <w:jc w:val="both"/>
        <w:rPr>
          <w:rFonts w:ascii="Helvetica" w:hAnsi="Helvetica" w:cs="Helvetica"/>
          <w:noProof/>
        </w:rPr>
      </w:pPr>
    </w:p>
    <w:p w14:paraId="5FA43FAE" w14:textId="1E38FF13" w:rsidR="001B3BFC" w:rsidRDefault="001B3BFC" w:rsidP="001B3BFC">
      <w:pPr>
        <w:spacing w:before="100" w:beforeAutospacing="1" w:after="100" w:afterAutospacing="1"/>
        <w:rPr>
          <w:rFonts w:ascii="Verdana" w:eastAsia="Times New Roman" w:hAnsi="Verdana"/>
        </w:rPr>
      </w:pPr>
      <w:r w:rsidRPr="001B3BFC">
        <w:rPr>
          <w:rFonts w:ascii="Verdana" w:eastAsia="Times New Roman" w:hAnsi="Verdana"/>
          <w:b/>
          <w:bCs/>
        </w:rPr>
        <w:t>Ulysse : les chants du retour</w:t>
      </w:r>
      <w:r>
        <w:rPr>
          <w:rFonts w:ascii="Verdana" w:eastAsia="Times New Roman" w:hAnsi="Verdana"/>
        </w:rPr>
        <w:t xml:space="preserve"> / Jean </w:t>
      </w:r>
      <w:proofErr w:type="spellStart"/>
      <w:r>
        <w:rPr>
          <w:rFonts w:ascii="Verdana" w:eastAsia="Times New Roman" w:hAnsi="Verdana"/>
        </w:rPr>
        <w:t>Harambat</w:t>
      </w:r>
      <w:proofErr w:type="spellEnd"/>
      <w:r>
        <w:rPr>
          <w:rFonts w:ascii="Verdana" w:eastAsia="Times New Roman" w:hAnsi="Verdana"/>
        </w:rPr>
        <w:t xml:space="preserve">. – [Arles] : Actes Sud, 2014. - </w:t>
      </w:r>
      <w:r w:rsidRPr="001B3BFC">
        <w:rPr>
          <w:rFonts w:ascii="Verdana" w:eastAsia="Times New Roman" w:hAnsi="Verdana"/>
        </w:rPr>
        <w:t>1 vol. (non paginé [</w:t>
      </w:r>
      <w:proofErr w:type="gramStart"/>
      <w:r w:rsidRPr="001B3BFC">
        <w:rPr>
          <w:rFonts w:ascii="Verdana" w:eastAsia="Times New Roman" w:hAnsi="Verdana"/>
        </w:rPr>
        <w:t>ca</w:t>
      </w:r>
      <w:proofErr w:type="gramEnd"/>
      <w:r w:rsidRPr="001B3BFC">
        <w:rPr>
          <w:rFonts w:ascii="Verdana" w:eastAsia="Times New Roman" w:hAnsi="Verdana"/>
        </w:rPr>
        <w:t xml:space="preserve"> 240] p.) : ill. en </w:t>
      </w:r>
      <w:proofErr w:type="spellStart"/>
      <w:r w:rsidRPr="001B3BFC">
        <w:rPr>
          <w:rFonts w:ascii="Verdana" w:eastAsia="Times New Roman" w:hAnsi="Verdana"/>
        </w:rPr>
        <w:t>coul</w:t>
      </w:r>
      <w:proofErr w:type="spellEnd"/>
      <w:r w:rsidRPr="001B3BFC">
        <w:rPr>
          <w:rFonts w:ascii="Verdana" w:eastAsia="Times New Roman" w:hAnsi="Verdana"/>
        </w:rPr>
        <w:t xml:space="preserve">., couv. ill. en </w:t>
      </w:r>
      <w:proofErr w:type="spellStart"/>
      <w:r w:rsidRPr="001B3BFC">
        <w:rPr>
          <w:rFonts w:ascii="Verdana" w:eastAsia="Times New Roman" w:hAnsi="Verdana"/>
        </w:rPr>
        <w:t>coul</w:t>
      </w:r>
      <w:proofErr w:type="spellEnd"/>
      <w:r w:rsidRPr="001B3BFC">
        <w:rPr>
          <w:rFonts w:ascii="Verdana" w:eastAsia="Times New Roman" w:hAnsi="Verdana"/>
        </w:rPr>
        <w:t>. ; 25 cm</w:t>
      </w:r>
      <w:r>
        <w:rPr>
          <w:rFonts w:ascii="Verdana" w:eastAsia="Times New Roman" w:hAnsi="Verdana"/>
        </w:rPr>
        <w:t>. – (Actes Sud BD)</w:t>
      </w:r>
    </w:p>
    <w:p w14:paraId="5578A8A4" w14:textId="431E3FF6" w:rsidR="001B3BFC" w:rsidRDefault="001B3BFC" w:rsidP="001B3BFC">
      <w:pPr>
        <w:spacing w:before="100" w:beforeAutospacing="1" w:after="100" w:afterAutospacing="1"/>
        <w:rPr>
          <w:rFonts w:ascii="Verdana" w:eastAsia="Times New Roman" w:hAnsi="Verdana"/>
        </w:rPr>
      </w:pPr>
      <w:r w:rsidRPr="001B3BFC">
        <w:rPr>
          <w:rFonts w:ascii="Verdana" w:eastAsia="Times New Roman" w:hAnsi="Verdana"/>
        </w:rPr>
        <w:t xml:space="preserve">ISBN 978-2-330-03646-1 (rel.) </w:t>
      </w:r>
    </w:p>
    <w:p w14:paraId="1A9B6125" w14:textId="79F2E3C2" w:rsidR="003F68D7" w:rsidRPr="005C197A" w:rsidRDefault="003F68D7" w:rsidP="005C197A">
      <w:pPr>
        <w:jc w:val="both"/>
        <w:rPr>
          <w:rFonts w:ascii="Verdana" w:hAnsi="Verdana"/>
        </w:rPr>
      </w:pPr>
      <w:r w:rsidRPr="005C197A">
        <w:rPr>
          <w:rFonts w:ascii="Verdana" w:hAnsi="Verdana"/>
        </w:rPr>
        <w:tab/>
      </w:r>
    </w:p>
    <w:p w14:paraId="55EA9671" w14:textId="2B2F075A" w:rsidR="003F68D7" w:rsidRDefault="001D1347" w:rsidP="005C197A">
      <w:pPr>
        <w:jc w:val="both"/>
        <w:rPr>
          <w:rFonts w:ascii="Verdana" w:hAnsi="Verdana"/>
        </w:rPr>
      </w:pPr>
      <w:r>
        <w:rPr>
          <w:rFonts w:ascii="Verdana" w:hAnsi="Verdana"/>
        </w:rPr>
        <w:t>Le point de vue de Geneviève :</w:t>
      </w:r>
    </w:p>
    <w:p w14:paraId="4639DC4A" w14:textId="77777777" w:rsidR="001D1347" w:rsidRPr="005C197A" w:rsidRDefault="001D1347" w:rsidP="005C197A">
      <w:pPr>
        <w:jc w:val="both"/>
        <w:rPr>
          <w:rFonts w:ascii="Verdana" w:hAnsi="Verdana"/>
        </w:rPr>
      </w:pPr>
    </w:p>
    <w:p w14:paraId="1055FA27" w14:textId="534D2B6B" w:rsidR="00EE56B7" w:rsidRPr="001D1347" w:rsidRDefault="00A05564" w:rsidP="005C197A">
      <w:pPr>
        <w:jc w:val="both"/>
        <w:rPr>
          <w:rFonts w:ascii="Verdana" w:hAnsi="Verdana"/>
          <w:i/>
          <w:iCs/>
        </w:rPr>
      </w:pPr>
      <w:r w:rsidRPr="001D1347">
        <w:rPr>
          <w:rFonts w:ascii="Verdana" w:hAnsi="Verdana"/>
          <w:i/>
          <w:iCs/>
        </w:rPr>
        <w:t xml:space="preserve">Ce n’est pas une nouveauté. Je l’ai découverte dans une bibliographie que nous avons </w:t>
      </w:r>
      <w:r w:rsidR="003F68D7" w:rsidRPr="001D1347">
        <w:rPr>
          <w:rFonts w:ascii="Verdana" w:hAnsi="Verdana"/>
          <w:i/>
          <w:iCs/>
        </w:rPr>
        <w:t>établie</w:t>
      </w:r>
      <w:r w:rsidRPr="001D1347">
        <w:rPr>
          <w:rFonts w:ascii="Verdana" w:hAnsi="Verdana"/>
          <w:i/>
          <w:iCs/>
        </w:rPr>
        <w:t xml:space="preserve"> pour le mois du Film Documentaire autour de Nicolas Bouvier, cet « étonnant voyageur ».</w:t>
      </w:r>
      <w:r w:rsidR="00EE56B7" w:rsidRPr="001D1347">
        <w:rPr>
          <w:rFonts w:ascii="Verdana" w:hAnsi="Verdana"/>
          <w:i/>
          <w:iCs/>
        </w:rPr>
        <w:t xml:space="preserve"> </w:t>
      </w:r>
      <w:proofErr w:type="spellStart"/>
      <w:r w:rsidR="00EE56B7" w:rsidRPr="001D1347">
        <w:rPr>
          <w:rFonts w:ascii="Verdana" w:hAnsi="Verdana"/>
          <w:i/>
          <w:iCs/>
        </w:rPr>
        <w:t>Harambat</w:t>
      </w:r>
      <w:proofErr w:type="spellEnd"/>
      <w:r w:rsidR="00EE56B7" w:rsidRPr="001D1347">
        <w:rPr>
          <w:rFonts w:ascii="Verdana" w:hAnsi="Verdana"/>
          <w:i/>
          <w:iCs/>
        </w:rPr>
        <w:t xml:space="preserve"> raconte ce moment de l’Odyssée où Ulysse retrouve son Ithaque. Sa démarche </w:t>
      </w:r>
      <w:r w:rsidRPr="001D1347">
        <w:rPr>
          <w:rFonts w:ascii="Verdana" w:hAnsi="Verdana"/>
          <w:i/>
          <w:iCs/>
        </w:rPr>
        <w:t xml:space="preserve">est curieuse, un peu déroutante. Le récit est entrecoupé d’épisodes contemporains : </w:t>
      </w:r>
      <w:r w:rsidR="000C54C5" w:rsidRPr="001D1347">
        <w:rPr>
          <w:rFonts w:ascii="Verdana" w:hAnsi="Verdana"/>
          <w:i/>
          <w:iCs/>
        </w:rPr>
        <w:t>aux cotés du héros</w:t>
      </w:r>
      <w:r w:rsidRPr="001D1347">
        <w:rPr>
          <w:rFonts w:ascii="Verdana" w:hAnsi="Verdana"/>
          <w:i/>
          <w:iCs/>
        </w:rPr>
        <w:t xml:space="preserve">, sur l’actuelle île d’Ithaque, </w:t>
      </w:r>
      <w:r w:rsidR="00743200" w:rsidRPr="001D1347">
        <w:rPr>
          <w:rFonts w:ascii="Verdana" w:hAnsi="Verdana"/>
          <w:i/>
          <w:iCs/>
        </w:rPr>
        <w:t>« </w:t>
      </w:r>
      <w:r w:rsidRPr="001D1347">
        <w:rPr>
          <w:rFonts w:ascii="Verdana" w:hAnsi="Verdana"/>
          <w:i/>
          <w:iCs/>
        </w:rPr>
        <w:t>marchent</w:t>
      </w:r>
      <w:r w:rsidR="00743200" w:rsidRPr="001D1347">
        <w:rPr>
          <w:rFonts w:ascii="Verdana" w:hAnsi="Verdana"/>
          <w:i/>
          <w:iCs/>
        </w:rPr>
        <w:t> »</w:t>
      </w:r>
      <w:r w:rsidRPr="001D1347">
        <w:rPr>
          <w:rFonts w:ascii="Verdana" w:hAnsi="Verdana"/>
          <w:i/>
          <w:iCs/>
        </w:rPr>
        <w:t xml:space="preserve"> des personnages </w:t>
      </w:r>
      <w:r w:rsidR="00B806C5" w:rsidRPr="001D1347">
        <w:rPr>
          <w:rFonts w:ascii="Verdana" w:hAnsi="Verdana"/>
          <w:i/>
          <w:iCs/>
        </w:rPr>
        <w:t xml:space="preserve">inconnus ou </w:t>
      </w:r>
      <w:r w:rsidRPr="001D1347">
        <w:rPr>
          <w:rFonts w:ascii="Verdana" w:hAnsi="Verdana"/>
          <w:i/>
          <w:iCs/>
        </w:rPr>
        <w:t xml:space="preserve">connus, notamment </w:t>
      </w:r>
      <w:r w:rsidR="000C54C5" w:rsidRPr="001D1347">
        <w:rPr>
          <w:rFonts w:ascii="Verdana" w:hAnsi="Verdana"/>
          <w:i/>
          <w:iCs/>
        </w:rPr>
        <w:t xml:space="preserve">Jean-Pierre Vernant et </w:t>
      </w:r>
      <w:proofErr w:type="spellStart"/>
      <w:r w:rsidR="000C54C5" w:rsidRPr="001D1347">
        <w:rPr>
          <w:rFonts w:ascii="Verdana" w:hAnsi="Verdana"/>
          <w:i/>
          <w:iCs/>
        </w:rPr>
        <w:t>Hartog</w:t>
      </w:r>
      <w:proofErr w:type="spellEnd"/>
      <w:r w:rsidR="000C54C5" w:rsidRPr="001D1347">
        <w:rPr>
          <w:rFonts w:ascii="Verdana" w:hAnsi="Verdana"/>
          <w:i/>
          <w:iCs/>
        </w:rPr>
        <w:t xml:space="preserve">, </w:t>
      </w:r>
      <w:r w:rsidRPr="001D1347">
        <w:rPr>
          <w:rFonts w:ascii="Verdana" w:hAnsi="Verdana"/>
          <w:i/>
          <w:iCs/>
        </w:rPr>
        <w:t xml:space="preserve">l’archéologue Jean-Paul </w:t>
      </w:r>
      <w:proofErr w:type="spellStart"/>
      <w:r w:rsidRPr="001D1347">
        <w:rPr>
          <w:rFonts w:ascii="Verdana" w:hAnsi="Verdana"/>
          <w:i/>
          <w:iCs/>
        </w:rPr>
        <w:t>Kauffman</w:t>
      </w:r>
      <w:proofErr w:type="spellEnd"/>
      <w:r w:rsidR="000C54C5" w:rsidRPr="001D1347">
        <w:rPr>
          <w:rFonts w:ascii="Verdana" w:hAnsi="Verdana"/>
          <w:i/>
          <w:iCs/>
        </w:rPr>
        <w:t>, l’</w:t>
      </w:r>
      <w:r w:rsidR="00EE56B7" w:rsidRPr="001D1347">
        <w:rPr>
          <w:rFonts w:ascii="Verdana" w:hAnsi="Verdana"/>
          <w:i/>
          <w:iCs/>
        </w:rPr>
        <w:t>helléniste Jacqueline de Ro</w:t>
      </w:r>
      <w:r w:rsidR="00B806C5" w:rsidRPr="001D1347">
        <w:rPr>
          <w:rFonts w:ascii="Verdana" w:hAnsi="Verdana"/>
          <w:i/>
          <w:iCs/>
        </w:rPr>
        <w:t>milly</w:t>
      </w:r>
      <w:r w:rsidR="00EE56B7" w:rsidRPr="001D1347">
        <w:rPr>
          <w:rFonts w:ascii="Verdana" w:hAnsi="Verdana"/>
          <w:i/>
          <w:iCs/>
        </w:rPr>
        <w:t>. Tous ont en commun quelque chose qui les relie à l’Odyssée.</w:t>
      </w:r>
      <w:r w:rsidR="00743200" w:rsidRPr="001D1347">
        <w:rPr>
          <w:rFonts w:ascii="Verdana" w:hAnsi="Verdana"/>
          <w:i/>
          <w:iCs/>
        </w:rPr>
        <w:t xml:space="preserve"> Leurs commentaires accompagnent la progression d’Ulysse. Ce choix narratif bouscule le lecteur mais l’amène à sentir une forme d’écho.</w:t>
      </w:r>
    </w:p>
    <w:p w14:paraId="4D6A5194" w14:textId="3E462604" w:rsidR="00743200" w:rsidRDefault="00EE56B7" w:rsidP="005C197A">
      <w:pPr>
        <w:jc w:val="both"/>
        <w:rPr>
          <w:rFonts w:ascii="Verdana" w:hAnsi="Verdana"/>
          <w:i/>
          <w:iCs/>
        </w:rPr>
      </w:pPr>
      <w:r w:rsidRPr="001D1347">
        <w:rPr>
          <w:rFonts w:ascii="Verdana" w:hAnsi="Verdana"/>
          <w:i/>
          <w:iCs/>
        </w:rPr>
        <w:t>Je n’aime pas la vengeance d’Ulysse mais j’aime son voyage dans l’ombre des Dieux et j’aime ce qu’en dit Jean-Paul Vernant : « Ulysse est l’histoire d’un homme à la reconquête de soi ».</w:t>
      </w:r>
      <w:r w:rsidR="00743200" w:rsidRPr="001D1347">
        <w:rPr>
          <w:rFonts w:ascii="Verdana" w:hAnsi="Verdana"/>
          <w:i/>
          <w:iCs/>
        </w:rPr>
        <w:t xml:space="preserve"> L’auteur a travaillé à partir de l’iconographie grecque, choisissant un style épuré pour laisser place au mythe. Cet album a trouvé sa place dans ma bibliothèque.</w:t>
      </w:r>
    </w:p>
    <w:p w14:paraId="242D481D" w14:textId="78344025" w:rsidR="001D1347" w:rsidRDefault="001D1347" w:rsidP="005C197A">
      <w:pPr>
        <w:jc w:val="both"/>
        <w:rPr>
          <w:rFonts w:ascii="Verdana" w:hAnsi="Verdana"/>
          <w:i/>
          <w:iCs/>
        </w:rPr>
      </w:pPr>
    </w:p>
    <w:p w14:paraId="078DD3D1" w14:textId="67039C84" w:rsidR="001D1347" w:rsidRDefault="001D1347" w:rsidP="005C197A">
      <w:pPr>
        <w:jc w:val="both"/>
        <w:rPr>
          <w:rFonts w:ascii="Verdana" w:hAnsi="Verdana"/>
          <w:i/>
          <w:iCs/>
        </w:rPr>
      </w:pPr>
    </w:p>
    <w:p w14:paraId="78E16FC8" w14:textId="77777777" w:rsidR="00686F9E" w:rsidRDefault="00686F9E" w:rsidP="005C197A">
      <w:pPr>
        <w:jc w:val="both"/>
        <w:rPr>
          <w:rFonts w:ascii="Verdana" w:hAnsi="Verdana"/>
        </w:rPr>
      </w:pPr>
    </w:p>
    <w:p w14:paraId="03F763D0" w14:textId="77777777" w:rsidR="00686F9E" w:rsidRDefault="00686F9E" w:rsidP="005C197A">
      <w:pPr>
        <w:jc w:val="both"/>
        <w:rPr>
          <w:rFonts w:ascii="Verdana" w:hAnsi="Verdana"/>
        </w:rPr>
      </w:pPr>
    </w:p>
    <w:p w14:paraId="10985883" w14:textId="7B8A4EA1" w:rsidR="001D1347" w:rsidRPr="001D1347" w:rsidRDefault="001D1347" w:rsidP="005C197A">
      <w:pPr>
        <w:jc w:val="both"/>
        <w:rPr>
          <w:rFonts w:ascii="Verdana" w:hAnsi="Verdana"/>
        </w:rPr>
      </w:pPr>
      <w:bookmarkStart w:id="0" w:name="_GoBack"/>
      <w:bookmarkEnd w:id="0"/>
      <w:r w:rsidRPr="001D1347">
        <w:rPr>
          <w:rFonts w:ascii="Verdana" w:hAnsi="Verdana"/>
        </w:rPr>
        <w:lastRenderedPageBreak/>
        <w:t xml:space="preserve">Extrait : </w:t>
      </w:r>
    </w:p>
    <w:p w14:paraId="624D4C07" w14:textId="52B73469" w:rsidR="00743200" w:rsidRDefault="00743200"/>
    <w:p w14:paraId="4DFDDFA7" w14:textId="00C73F98" w:rsidR="001B3BFC" w:rsidRPr="00743200" w:rsidRDefault="00354238">
      <w:r w:rsidRPr="00354238">
        <w:rPr>
          <w:noProof/>
        </w:rPr>
        <w:drawing>
          <wp:inline distT="0" distB="0" distL="0" distR="0" wp14:anchorId="72CCDDBC" wp14:editId="497A5EFE">
            <wp:extent cx="6636520" cy="90525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32" cy="90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BFC" w:rsidRPr="00743200" w:rsidSect="0035423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161C2"/>
    <w:multiLevelType w:val="multilevel"/>
    <w:tmpl w:val="180E172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1" w15:restartNumberingAfterBreak="0">
    <w:nsid w:val="23495791"/>
    <w:multiLevelType w:val="multilevel"/>
    <w:tmpl w:val="78EEE080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43500B52"/>
    <w:multiLevelType w:val="multilevel"/>
    <w:tmpl w:val="7C647D00"/>
    <w:lvl w:ilvl="0">
      <w:start w:val="1"/>
      <w:numFmt w:val="decimal"/>
      <w:lvlText w:val="%1."/>
      <w:lvlJc w:val="left"/>
      <w:pPr>
        <w:ind w:left="1918" w:hanging="360"/>
      </w:pPr>
    </w:lvl>
    <w:lvl w:ilvl="1">
      <w:start w:val="1"/>
      <w:numFmt w:val="decimal"/>
      <w:lvlText w:val="%1.%2."/>
      <w:lvlJc w:val="left"/>
      <w:pPr>
        <w:ind w:left="2350" w:hanging="432"/>
      </w:pPr>
    </w:lvl>
    <w:lvl w:ilvl="2">
      <w:start w:val="1"/>
      <w:numFmt w:val="decimal"/>
      <w:lvlText w:val="%1.%2.%3."/>
      <w:lvlJc w:val="left"/>
      <w:pPr>
        <w:ind w:left="2782" w:hanging="504"/>
      </w:pPr>
    </w:lvl>
    <w:lvl w:ilvl="3">
      <w:start w:val="1"/>
      <w:numFmt w:val="decimal"/>
      <w:lvlText w:val="%1.%2.%3.%4."/>
      <w:lvlJc w:val="left"/>
      <w:pPr>
        <w:ind w:left="3286" w:hanging="648"/>
      </w:pPr>
    </w:lvl>
    <w:lvl w:ilvl="4">
      <w:start w:val="1"/>
      <w:numFmt w:val="decimal"/>
      <w:lvlText w:val="%1.%2.%3.%4.%5."/>
      <w:lvlJc w:val="left"/>
      <w:pPr>
        <w:ind w:left="3790" w:hanging="792"/>
      </w:pPr>
    </w:lvl>
    <w:lvl w:ilvl="5">
      <w:start w:val="1"/>
      <w:numFmt w:val="decimal"/>
      <w:lvlText w:val="%1.%2.%3.%4.%5.%6."/>
      <w:lvlJc w:val="left"/>
      <w:pPr>
        <w:ind w:left="4294" w:hanging="936"/>
      </w:pPr>
    </w:lvl>
    <w:lvl w:ilvl="6">
      <w:start w:val="1"/>
      <w:numFmt w:val="decimal"/>
      <w:lvlText w:val="%1.%2.%3.%4.%5.%6.%7."/>
      <w:lvlJc w:val="left"/>
      <w:pPr>
        <w:ind w:left="4798" w:hanging="1080"/>
      </w:pPr>
    </w:lvl>
    <w:lvl w:ilvl="7">
      <w:start w:val="1"/>
      <w:numFmt w:val="decimal"/>
      <w:lvlText w:val="%1.%2.%3.%4.%5.%6.%7.%8."/>
      <w:lvlJc w:val="left"/>
      <w:pPr>
        <w:ind w:left="5302" w:hanging="1224"/>
      </w:pPr>
    </w:lvl>
    <w:lvl w:ilvl="8">
      <w:start w:val="1"/>
      <w:numFmt w:val="decimal"/>
      <w:lvlText w:val="%1.%2.%3.%4.%5.%6.%7.%8.%9."/>
      <w:lvlJc w:val="left"/>
      <w:pPr>
        <w:ind w:left="5878" w:hanging="1440"/>
      </w:pPr>
    </w:lvl>
  </w:abstractNum>
  <w:abstractNum w:abstractNumId="3" w15:restartNumberingAfterBreak="0">
    <w:nsid w:val="503A1752"/>
    <w:multiLevelType w:val="multilevel"/>
    <w:tmpl w:val="31CC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544074DA"/>
    <w:multiLevelType w:val="multilevel"/>
    <w:tmpl w:val="F236C112"/>
    <w:lvl w:ilvl="0">
      <w:start w:val="1"/>
      <w:numFmt w:val="decimal"/>
      <w:lvlText w:val="%1."/>
      <w:lvlJc w:val="left"/>
      <w:pPr>
        <w:ind w:left="2484" w:hanging="360"/>
      </w:pPr>
    </w:lvl>
    <w:lvl w:ilvl="1">
      <w:start w:val="1"/>
      <w:numFmt w:val="decimal"/>
      <w:lvlText w:val="%1.%2."/>
      <w:lvlJc w:val="left"/>
      <w:pPr>
        <w:ind w:left="2916" w:hanging="432"/>
      </w:pPr>
    </w:lvl>
    <w:lvl w:ilvl="2">
      <w:start w:val="1"/>
      <w:numFmt w:val="decimal"/>
      <w:lvlText w:val="%1.%2.%3."/>
      <w:lvlJc w:val="left"/>
      <w:pPr>
        <w:ind w:left="4755" w:hanging="504"/>
      </w:pPr>
    </w:lvl>
    <w:lvl w:ilvl="3">
      <w:start w:val="1"/>
      <w:numFmt w:val="decimal"/>
      <w:lvlText w:val="%1.%2.%3.%4."/>
      <w:lvlJc w:val="left"/>
      <w:pPr>
        <w:ind w:left="3852" w:hanging="648"/>
      </w:pPr>
    </w:lvl>
    <w:lvl w:ilvl="4">
      <w:start w:val="1"/>
      <w:numFmt w:val="decimal"/>
      <w:lvlText w:val="%1.%2.%3.%4.%5."/>
      <w:lvlJc w:val="left"/>
      <w:pPr>
        <w:ind w:left="4356" w:hanging="792"/>
      </w:pPr>
    </w:lvl>
    <w:lvl w:ilvl="5">
      <w:start w:val="1"/>
      <w:numFmt w:val="decimal"/>
      <w:lvlText w:val="%1.%2.%3.%4.%5.%6."/>
      <w:lvlJc w:val="left"/>
      <w:pPr>
        <w:ind w:left="4860" w:hanging="936"/>
      </w:pPr>
    </w:lvl>
    <w:lvl w:ilvl="6">
      <w:start w:val="1"/>
      <w:numFmt w:val="decimal"/>
      <w:lvlText w:val="%1.%2.%3.%4.%5.%6.%7."/>
      <w:lvlJc w:val="left"/>
      <w:pPr>
        <w:ind w:left="5364" w:hanging="1080"/>
      </w:pPr>
    </w:lvl>
    <w:lvl w:ilvl="7">
      <w:start w:val="1"/>
      <w:numFmt w:val="decimal"/>
      <w:lvlText w:val="%1.%2.%3.%4.%5.%6.%7.%8."/>
      <w:lvlJc w:val="left"/>
      <w:pPr>
        <w:ind w:left="5868" w:hanging="1224"/>
      </w:pPr>
    </w:lvl>
    <w:lvl w:ilvl="8">
      <w:start w:val="1"/>
      <w:numFmt w:val="decimal"/>
      <w:lvlText w:val="%1.%2.%3.%4.%5.%6.%7.%8.%9."/>
      <w:lvlJc w:val="left"/>
      <w:pPr>
        <w:ind w:left="6444" w:hanging="1440"/>
      </w:pPr>
    </w:lvl>
  </w:abstractNum>
  <w:abstractNum w:abstractNumId="5" w15:restartNumberingAfterBreak="0">
    <w:nsid w:val="58DC2DA0"/>
    <w:multiLevelType w:val="multilevel"/>
    <w:tmpl w:val="0344B5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3711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6" w15:restartNumberingAfterBreak="0">
    <w:nsid w:val="5CE17B92"/>
    <w:multiLevelType w:val="multilevel"/>
    <w:tmpl w:val="89CCF4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EDE3CF7"/>
    <w:multiLevelType w:val="multilevel"/>
    <w:tmpl w:val="C8F271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E37523"/>
    <w:multiLevelType w:val="multilevel"/>
    <w:tmpl w:val="7D30273E"/>
    <w:lvl w:ilvl="0">
      <w:start w:val="1"/>
      <w:numFmt w:val="decimal"/>
      <w:pStyle w:val="Titre1"/>
      <w:lvlText w:val="%1."/>
      <w:lvlJc w:val="left"/>
      <w:pPr>
        <w:ind w:left="1068" w:hanging="360"/>
      </w:pPr>
    </w:lvl>
    <w:lvl w:ilvl="1">
      <w:start w:val="1"/>
      <w:numFmt w:val="decimal"/>
      <w:pStyle w:val="Titre2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3339" w:hanging="504"/>
      </w:pPr>
    </w:lvl>
    <w:lvl w:ilvl="3">
      <w:start w:val="1"/>
      <w:numFmt w:val="decimal"/>
      <w:pStyle w:val="Titre4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9" w15:restartNumberingAfterBreak="0">
    <w:nsid w:val="67C7793A"/>
    <w:multiLevelType w:val="multilevel"/>
    <w:tmpl w:val="01E643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826432C"/>
    <w:multiLevelType w:val="multilevel"/>
    <w:tmpl w:val="93CA21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836" w:hanging="864"/>
      </w:pPr>
    </w:lvl>
    <w:lvl w:ilvl="4">
      <w:start w:val="1"/>
      <w:numFmt w:val="decimal"/>
      <w:lvlText w:val="%1.%2.%3.%4.%5"/>
      <w:lvlJc w:val="left"/>
      <w:pPr>
        <w:ind w:left="980" w:hanging="1008"/>
      </w:pPr>
    </w:lvl>
    <w:lvl w:ilvl="5">
      <w:start w:val="1"/>
      <w:numFmt w:val="decimal"/>
      <w:lvlText w:val="%1.%2.%3.%4.%5.%6"/>
      <w:lvlJc w:val="left"/>
      <w:pPr>
        <w:ind w:left="1124" w:hanging="1152"/>
      </w:pPr>
    </w:lvl>
    <w:lvl w:ilvl="6">
      <w:start w:val="1"/>
      <w:numFmt w:val="decimal"/>
      <w:lvlText w:val="%1.%2.%3.%4.%5.%6.%7"/>
      <w:lvlJc w:val="left"/>
      <w:pPr>
        <w:ind w:left="1268" w:hanging="1296"/>
      </w:pPr>
    </w:lvl>
    <w:lvl w:ilvl="7">
      <w:start w:val="1"/>
      <w:numFmt w:val="decimal"/>
      <w:lvlText w:val="%1.%2.%3.%4.%5.%6.%7.%8"/>
      <w:lvlJc w:val="left"/>
      <w:pPr>
        <w:ind w:left="1412" w:hanging="1440"/>
      </w:pPr>
    </w:lvl>
    <w:lvl w:ilvl="8">
      <w:start w:val="1"/>
      <w:numFmt w:val="decimal"/>
      <w:lvlText w:val="%1.%2.%3.%4.%5.%6.%7.%8.%9"/>
      <w:lvlJc w:val="left"/>
      <w:pPr>
        <w:ind w:left="1556" w:hanging="1584"/>
      </w:pPr>
    </w:lvl>
  </w:abstractNum>
  <w:abstractNum w:abstractNumId="11" w15:restartNumberingAfterBreak="0">
    <w:nsid w:val="74640142"/>
    <w:multiLevelType w:val="multilevel"/>
    <w:tmpl w:val="D00CD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2"/>
  </w:num>
  <w:num w:numId="10">
    <w:abstractNumId w:val="9"/>
  </w:num>
  <w:num w:numId="11">
    <w:abstractNumId w:val="6"/>
  </w:num>
  <w:num w:numId="12">
    <w:abstractNumId w:val="3"/>
  </w:num>
  <w:num w:numId="13">
    <w:abstractNumId w:val="1"/>
  </w:num>
  <w:num w:numId="14">
    <w:abstractNumId w:val="5"/>
  </w:num>
  <w:num w:numId="15">
    <w:abstractNumId w:val="4"/>
  </w:num>
  <w:num w:numId="16">
    <w:abstractNumId w:val="8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564"/>
    <w:rsid w:val="000C54C5"/>
    <w:rsid w:val="001B3BFC"/>
    <w:rsid w:val="001D1347"/>
    <w:rsid w:val="00326C3C"/>
    <w:rsid w:val="00354238"/>
    <w:rsid w:val="00357A9A"/>
    <w:rsid w:val="003F68D7"/>
    <w:rsid w:val="005C197A"/>
    <w:rsid w:val="00686F9E"/>
    <w:rsid w:val="00743200"/>
    <w:rsid w:val="0084717C"/>
    <w:rsid w:val="00A05564"/>
    <w:rsid w:val="00A45B9E"/>
    <w:rsid w:val="00B806C5"/>
    <w:rsid w:val="00BE4AE9"/>
    <w:rsid w:val="00EE56B7"/>
    <w:rsid w:val="00F074A7"/>
    <w:rsid w:val="00F2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D0C9FF"/>
  <w14:defaultImageDpi w14:val="300"/>
  <w15:docId w15:val="{D76041B5-46C1-4129-A775-EDD29BEB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45B9E"/>
    <w:pPr>
      <w:keepNext/>
      <w:keepLines/>
      <w:numPr>
        <w:numId w:val="17"/>
      </w:numPr>
      <w:spacing w:before="360"/>
      <w:outlineLvl w:val="0"/>
    </w:pPr>
    <w:rPr>
      <w:rFonts w:eastAsiaTheme="majorEastAsia" w:cstheme="majorBidi"/>
      <w:b/>
      <w:bCs/>
      <w:caps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45B9E"/>
    <w:pPr>
      <w:keepNext/>
      <w:keepLines/>
      <w:numPr>
        <w:ilvl w:val="1"/>
        <w:numId w:val="17"/>
      </w:numPr>
      <w:spacing w:before="80"/>
      <w:outlineLvl w:val="1"/>
    </w:pPr>
    <w:rPr>
      <w:rFonts w:eastAsiaTheme="majorEastAsia" w:cstheme="majorBidi"/>
      <w:b/>
      <w:bCs/>
      <w:caps/>
      <w:sz w:val="28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A45B9E"/>
    <w:pPr>
      <w:keepNext/>
      <w:keepLines/>
      <w:spacing w:before="80"/>
      <w:ind w:left="1920" w:hanging="504"/>
      <w:outlineLvl w:val="2"/>
    </w:pPr>
    <w:rPr>
      <w:rFonts w:eastAsiaTheme="majorEastAsia" w:cstheme="majorBidi"/>
      <w:b/>
      <w:bCs/>
      <w:sz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A45B9E"/>
    <w:pPr>
      <w:keepNext/>
      <w:keepLines/>
      <w:numPr>
        <w:ilvl w:val="3"/>
        <w:numId w:val="17"/>
      </w:numPr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2">
    <w:name w:val="toc 2"/>
    <w:basedOn w:val="Normal"/>
    <w:next w:val="Normal"/>
    <w:autoRedefine/>
    <w:uiPriority w:val="39"/>
    <w:unhideWhenUsed/>
    <w:qFormat/>
    <w:rsid w:val="00BE4AE9"/>
    <w:pPr>
      <w:spacing w:before="240"/>
    </w:pPr>
    <w:rPr>
      <w:rFonts w:asciiTheme="minorHAnsi" w:hAnsiTheme="minorHAnsi" w:cstheme="minorBidi"/>
      <w:b/>
      <w:bCs/>
      <w:sz w:val="20"/>
      <w:szCs w:val="20"/>
    </w:rPr>
  </w:style>
  <w:style w:type="character" w:styleId="lev">
    <w:name w:val="Strong"/>
    <w:basedOn w:val="Policepardfaut"/>
    <w:qFormat/>
    <w:rsid w:val="00F242E4"/>
    <w:rPr>
      <w:rFonts w:ascii="Times New Roman" w:hAnsi="Times New Roman"/>
      <w:b/>
      <w:bCs/>
      <w:color w:val="auto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84717C"/>
    <w:rPr>
      <w:rFonts w:eastAsiaTheme="majorEastAsia" w:cstheme="majorBidi"/>
      <w:b/>
      <w:bCs/>
      <w:cap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4717C"/>
    <w:rPr>
      <w:rFonts w:eastAsiaTheme="majorEastAsia" w:cstheme="majorBidi"/>
      <w:b/>
      <w:bCs/>
      <w: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45B9E"/>
    <w:rPr>
      <w:rFonts w:eastAsiaTheme="majorEastAsia" w:cstheme="majorBidi"/>
      <w:b/>
      <w:bCs/>
      <w:sz w:val="28"/>
    </w:rPr>
  </w:style>
  <w:style w:type="character" w:customStyle="1" w:styleId="Titre4Car">
    <w:name w:val="Titre 4 Car"/>
    <w:basedOn w:val="Policepardfaut"/>
    <w:link w:val="Titre4"/>
    <w:uiPriority w:val="9"/>
    <w:rsid w:val="00A45B9E"/>
    <w:rPr>
      <w:rFonts w:eastAsiaTheme="majorEastAsia" w:cstheme="majorBidi"/>
      <w:b/>
      <w:bCs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68D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8D7"/>
    <w:rPr>
      <w:rFonts w:ascii="Lucida Grande" w:hAnsi="Lucida Grande" w:cs="Lucida Grande"/>
      <w:sz w:val="18"/>
      <w:szCs w:val="18"/>
    </w:rPr>
  </w:style>
  <w:style w:type="paragraph" w:customStyle="1" w:styleId="notice">
    <w:name w:val="notice"/>
    <w:basedOn w:val="Normal"/>
    <w:rsid w:val="001B3BFC"/>
    <w:pPr>
      <w:spacing w:before="100" w:beforeAutospacing="1" w:after="100" w:afterAutospacing="1"/>
    </w:pPr>
    <w:rPr>
      <w:rFonts w:eastAsia="Times New Roman"/>
    </w:rPr>
  </w:style>
  <w:style w:type="character" w:customStyle="1" w:styleId="notice-label">
    <w:name w:val="notice-label"/>
    <w:basedOn w:val="Policepardfaut"/>
    <w:rsid w:val="001B3BFC"/>
  </w:style>
  <w:style w:type="character" w:styleId="Lienhypertexte">
    <w:name w:val="Hyperlink"/>
    <w:basedOn w:val="Policepardfaut"/>
    <w:uiPriority w:val="99"/>
    <w:semiHidden/>
    <w:unhideWhenUsed/>
    <w:rsid w:val="001B3BFC"/>
    <w:rPr>
      <w:color w:val="0000FF"/>
      <w:u w:val="single"/>
    </w:rPr>
  </w:style>
  <w:style w:type="character" w:customStyle="1" w:styleId="hors-viewport">
    <w:name w:val="hors-viewport"/>
    <w:basedOn w:val="Policepardfaut"/>
    <w:rsid w:val="001B3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Vayssade</dc:creator>
  <cp:keywords/>
  <dc:description/>
  <cp:lastModifiedBy>Aline Bretagnolle</cp:lastModifiedBy>
  <cp:revision>7</cp:revision>
  <dcterms:created xsi:type="dcterms:W3CDTF">2019-11-11T20:34:00Z</dcterms:created>
  <dcterms:modified xsi:type="dcterms:W3CDTF">2019-11-12T08:07:00Z</dcterms:modified>
</cp:coreProperties>
</file>