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396"/>
      </w:tblGrid>
      <w:tr w:rsidR="00430834" w:rsidRPr="00BE061B" w14:paraId="7706E2F0" w14:textId="77777777" w:rsidTr="00B45597">
        <w:trPr>
          <w:jc w:val="center"/>
        </w:trPr>
        <w:tc>
          <w:tcPr>
            <w:tcW w:w="9396" w:type="dxa"/>
          </w:tcPr>
          <w:p w14:paraId="0CB31203" w14:textId="77777777" w:rsidR="00CB5694" w:rsidRDefault="00430834" w:rsidP="00E306CA">
            <w:pPr>
              <w:jc w:val="center"/>
              <w:rPr>
                <w:b/>
                <w:sz w:val="28"/>
                <w:lang w:val="fr-FR"/>
              </w:rPr>
            </w:pPr>
            <w:r w:rsidRPr="00430834">
              <w:rPr>
                <w:b/>
                <w:sz w:val="28"/>
                <w:lang w:val="fr-FR"/>
              </w:rPr>
              <w:t xml:space="preserve">Tableau </w:t>
            </w:r>
            <w:r w:rsidR="00CB5694">
              <w:rPr>
                <w:b/>
                <w:sz w:val="28"/>
                <w:lang w:val="fr-FR"/>
              </w:rPr>
              <w:t>r</w:t>
            </w:r>
            <w:r w:rsidRPr="00430834">
              <w:rPr>
                <w:b/>
                <w:sz w:val="28"/>
                <w:lang w:val="fr-FR"/>
              </w:rPr>
              <w:t>écapitulatif de l’indemnisation</w:t>
            </w:r>
            <w:r w:rsidR="00CB5694">
              <w:rPr>
                <w:b/>
                <w:sz w:val="28"/>
                <w:lang w:val="fr-FR"/>
              </w:rPr>
              <w:t xml:space="preserve"> des salariés en arrêt de travail</w:t>
            </w:r>
          </w:p>
          <w:p w14:paraId="79A982AB" w14:textId="5E896E6A" w:rsidR="00430834" w:rsidRPr="00430834" w:rsidRDefault="00CB5694" w:rsidP="00E306CA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26 mars 2020</w:t>
            </w:r>
            <w:r w:rsidR="006D360E">
              <w:rPr>
                <w:b/>
                <w:sz w:val="28"/>
                <w:lang w:val="fr-FR"/>
              </w:rPr>
              <w:t xml:space="preserve"> </w:t>
            </w:r>
          </w:p>
        </w:tc>
      </w:tr>
    </w:tbl>
    <w:p w14:paraId="6DD21D7B" w14:textId="045AC59B" w:rsidR="00BF11C6" w:rsidRDefault="00BF11C6" w:rsidP="00F37F7B">
      <w:pPr>
        <w:rPr>
          <w:bCs/>
          <w:sz w:val="28"/>
          <w:lang w:val="fr-FR"/>
        </w:rPr>
      </w:pPr>
    </w:p>
    <w:p w14:paraId="295B7E90" w14:textId="1E5F7271" w:rsidR="00A66E9A" w:rsidRPr="007F7057" w:rsidRDefault="00CB5694" w:rsidP="003A54DB">
      <w:pPr>
        <w:jc w:val="both"/>
        <w:rPr>
          <w:bCs/>
          <w:lang w:val="fr-FR"/>
        </w:rPr>
      </w:pPr>
      <w:r w:rsidRPr="003A54DB">
        <w:rPr>
          <w:bCs/>
          <w:lang w:val="fr-FR"/>
        </w:rPr>
        <w:t xml:space="preserve">Suite à l’entrée à vigueur de différents Décrets et Ordonnance, vous trouverez ci-dessous un tableau récapitulatif </w:t>
      </w:r>
      <w:r w:rsidR="003A54DB" w:rsidRPr="003A54DB">
        <w:rPr>
          <w:bCs/>
          <w:lang w:val="fr-FR"/>
        </w:rPr>
        <w:t xml:space="preserve">de l’indemnisation des arrêts de travail des salariés, aussi bien par la sécurité sociale que par l’employeur. Les avis et positions des syndicats sont déjà pris en compte, ce tableau </w:t>
      </w:r>
      <w:r w:rsidR="003A54DB" w:rsidRPr="007F7057">
        <w:rPr>
          <w:bCs/>
          <w:lang w:val="fr-FR"/>
        </w:rPr>
        <w:t xml:space="preserve">constitue donc le positionnement de la Fédération. </w:t>
      </w:r>
    </w:p>
    <w:tbl>
      <w:tblPr>
        <w:tblW w:w="130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1"/>
        <w:gridCol w:w="1462"/>
        <w:gridCol w:w="1984"/>
        <w:gridCol w:w="1985"/>
        <w:gridCol w:w="2976"/>
        <w:gridCol w:w="2835"/>
      </w:tblGrid>
      <w:tr w:rsidR="007F7057" w:rsidRPr="007F7057" w14:paraId="5529C020" w14:textId="235C287B" w:rsidTr="00EC09DB"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4075D1E" w14:textId="77777777" w:rsidR="00EC09DB" w:rsidRPr="007F7057" w:rsidRDefault="00EC09DB" w:rsidP="00B455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>Cas de figure</w:t>
            </w:r>
          </w:p>
        </w:tc>
        <w:tc>
          <w:tcPr>
            <w:tcW w:w="1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98C1D3E" w14:textId="77777777" w:rsidR="00EC09DB" w:rsidRPr="007F7057" w:rsidRDefault="00EC09DB" w:rsidP="00B455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>Formalités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F4AA917" w14:textId="343A0C93" w:rsidR="00EC09DB" w:rsidRPr="007F7057" w:rsidRDefault="00EC09DB" w:rsidP="00B455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>IJSS (remarque : possibilité de pratiquer la subrogation)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E45C1D3" w14:textId="36CC7347" w:rsidR="00EC09DB" w:rsidRPr="007F7057" w:rsidRDefault="00EC09DB" w:rsidP="00B455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>Indemnisation complémentaire légale de l’employeur…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FB3DEE0" w14:textId="4724FBBE" w:rsidR="00EC09DB" w:rsidRPr="007F7057" w:rsidRDefault="00EC09DB" w:rsidP="00B455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 xml:space="preserve">…Ou, </w:t>
            </w: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fr-FR" w:eastAsia="fr-FR"/>
              </w:rPr>
              <w:t>si plus favorable</w:t>
            </w: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>, indemnisation complémentaire de l’employeur CCN du sport</w:t>
            </w:r>
            <w:r w:rsidR="007F7057"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 xml:space="preserve"> (</w:t>
            </w:r>
            <w:r w:rsidR="0085707F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>3</w:t>
            </w:r>
            <w:r w:rsidR="007F7057"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D0B577A" w14:textId="1441E80D" w:rsidR="00EC09DB" w:rsidRPr="007F7057" w:rsidRDefault="00EC09DB" w:rsidP="00B455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>Régime de prévoyance facultatif (indemnisation de l’employeur sur 90 premiers jours</w:t>
            </w:r>
          </w:p>
        </w:tc>
      </w:tr>
      <w:tr w:rsidR="005137CA" w:rsidRPr="007F7057" w14:paraId="4392A6CE" w14:textId="3CFDAE47" w:rsidTr="00E60D1D"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DBC6ADC" w14:textId="122F6F7F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 xml:space="preserve">Salarié malade atteint du coronavirus </w:t>
            </w:r>
          </w:p>
        </w:tc>
        <w:tc>
          <w:tcPr>
            <w:tcW w:w="1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05C4E98" w14:textId="554B463B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Arrêt maladie « classique »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03FDA6F" w14:textId="75BC9ACD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Oui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val="fr-FR" w:eastAsia="fr-FR"/>
              </w:rPr>
              <w:t xml:space="preserve">Sans 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 xml:space="preserve">délai de carence </w:t>
            </w:r>
            <w:r>
              <w:rPr>
                <w:rFonts w:eastAsia="Times New Roman" w:cstheme="minorHAnsi"/>
                <w:sz w:val="18"/>
                <w:szCs w:val="18"/>
                <w:lang w:val="fr-FR" w:eastAsia="fr-FR"/>
              </w:rPr>
              <w:t>ni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 xml:space="preserve"> condition d’ancienneté</w:t>
            </w:r>
            <w:r>
              <w:rPr>
                <w:rFonts w:eastAsia="Times New Roman" w:cstheme="minorHAnsi"/>
                <w:sz w:val="18"/>
                <w:szCs w:val="18"/>
                <w:lang w:val="fr-FR" w:eastAsia="fr-FR"/>
              </w:rPr>
              <w:t xml:space="preserve"> (1)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D6C6659" w14:textId="0A7BD37B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Oui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  <w:t>Pas de délai de carence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  <w:t>Pas de condition d’ancienneté (</w:t>
            </w:r>
            <w:r>
              <w:rPr>
                <w:rFonts w:eastAsia="Times New Roman" w:cstheme="minorHAnsi"/>
                <w:sz w:val="18"/>
                <w:szCs w:val="18"/>
                <w:lang w:val="fr-FR" w:eastAsia="fr-FR"/>
              </w:rPr>
              <w:t>2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)</w:t>
            </w:r>
          </w:p>
          <w:p w14:paraId="5CABBD86" w14:textId="59DC12B2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37D5775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63B35175" w14:textId="22DE4156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Maintien de salaire pour cause de maladie CCN Sport (article 4.3.1)</w:t>
            </w:r>
          </w:p>
        </w:tc>
        <w:tc>
          <w:tcPr>
            <w:tcW w:w="2835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14:paraId="26044B42" w14:textId="77777777" w:rsidR="005137CA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4BB6758C" w14:textId="77777777" w:rsidR="005137CA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6D250A5A" w14:textId="77777777" w:rsidR="005137CA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61D878DF" w14:textId="77777777" w:rsidR="005137CA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0551C0FB" w14:textId="77777777" w:rsidR="005137CA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3EBDF83A" w14:textId="77777777" w:rsidR="005137CA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2FEF741E" w14:textId="77777777" w:rsidR="005137CA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7C1AC598" w14:textId="6B706EA6" w:rsidR="005137CA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5351C114" w14:textId="0268EFF7" w:rsidR="005137CA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0ECA8617" w14:textId="77777777" w:rsidR="005137CA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7686541E" w14:textId="77777777" w:rsidR="005137CA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70D5ED5C" w14:textId="77777777" w:rsidR="005137CA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7D034372" w14:textId="33452034" w:rsidR="005137CA" w:rsidRPr="007F7057" w:rsidRDefault="005137CA" w:rsidP="005137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val="fr-FR" w:eastAsia="fr-FR"/>
              </w:rPr>
              <w:t>En attente d’un retour suite à question posée aux opérateurs</w:t>
            </w:r>
            <w:bookmarkStart w:id="0" w:name="_GoBack"/>
            <w:bookmarkEnd w:id="0"/>
          </w:p>
        </w:tc>
      </w:tr>
      <w:tr w:rsidR="005137CA" w:rsidRPr="007F7057" w14:paraId="03F70C34" w14:textId="77777777" w:rsidTr="00E60D1D"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A0CCDC9" w14:textId="09357F27" w:rsidR="005137CA" w:rsidRPr="007F7057" w:rsidRDefault="005137CA" w:rsidP="00D44A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 xml:space="preserve">Salarié non atteint du coronavirus </w:t>
            </w:r>
          </w:p>
        </w:tc>
        <w:tc>
          <w:tcPr>
            <w:tcW w:w="1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83F8D49" w14:textId="77777777" w:rsidR="005137CA" w:rsidRPr="007F7057" w:rsidRDefault="005137CA" w:rsidP="00D44A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Arrêt maladie « classique »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91BE744" w14:textId="77777777" w:rsidR="005137CA" w:rsidRPr="007F7057" w:rsidRDefault="005137CA" w:rsidP="00D44A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Oui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  <w:t>Avec délai de carence et condition d’ancienneté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FCCFF1B" w14:textId="00ACAD03" w:rsidR="005137CA" w:rsidRPr="007F7057" w:rsidRDefault="005137CA" w:rsidP="007F70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Oui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  <w:t>Délai de carence 7 jours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9CC4E30" w14:textId="77777777" w:rsidR="005137CA" w:rsidRPr="007F7057" w:rsidRDefault="005137CA" w:rsidP="00D44A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2663B05D" w14:textId="3A910DD4" w:rsidR="005137CA" w:rsidRPr="007F7057" w:rsidRDefault="005137CA" w:rsidP="00D44A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Maintien de salaire pour cause de maladie CCN Sport (article 4.3.1)</w:t>
            </w:r>
          </w:p>
        </w:tc>
        <w:tc>
          <w:tcPr>
            <w:tcW w:w="2835" w:type="dxa"/>
            <w:vMerge/>
            <w:tcBorders>
              <w:left w:val="single" w:sz="6" w:space="0" w:color="999999"/>
              <w:right w:val="single" w:sz="6" w:space="0" w:color="999999"/>
            </w:tcBorders>
          </w:tcPr>
          <w:p w14:paraId="59719582" w14:textId="77777777" w:rsidR="005137CA" w:rsidRPr="007F7057" w:rsidRDefault="005137CA" w:rsidP="00D44A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5137CA" w:rsidRPr="007F7057" w14:paraId="7481A1EF" w14:textId="6D1308B4" w:rsidTr="00E60D1D"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A2BEB4D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>Salarié non malade mais « cas contact » avec un salarié malade identifié coronavirus</w:t>
            </w:r>
          </w:p>
          <w:p w14:paraId="6C16009A" w14:textId="5EEAA0E9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1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32216FF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Arrêt de travail dérogatoire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DD902A2" w14:textId="57B1140D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Oui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  <w:t>Sans délai de carence ni condition d’ancienneté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46A7905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Oui</w:t>
            </w:r>
          </w:p>
          <w:p w14:paraId="3947046D" w14:textId="26966545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Pas de délai de carence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  <w:t>Pas de condition d’ancienneté (</w:t>
            </w:r>
            <w:r>
              <w:rPr>
                <w:rFonts w:eastAsia="Times New Roman" w:cstheme="minorHAnsi"/>
                <w:sz w:val="18"/>
                <w:szCs w:val="18"/>
                <w:lang w:val="fr-FR" w:eastAsia="fr-FR"/>
              </w:rPr>
              <w:t>2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F88A1B3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11E82D67" w14:textId="47B02E96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Pas d’obligation de maintien de salaire car salarié non malade.</w:t>
            </w:r>
          </w:p>
        </w:tc>
        <w:tc>
          <w:tcPr>
            <w:tcW w:w="2835" w:type="dxa"/>
            <w:vMerge/>
            <w:tcBorders>
              <w:left w:val="single" w:sz="6" w:space="0" w:color="999999"/>
              <w:right w:val="single" w:sz="6" w:space="0" w:color="999999"/>
            </w:tcBorders>
          </w:tcPr>
          <w:p w14:paraId="77C9AB7E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5137CA" w:rsidRPr="007F7057" w14:paraId="5221E9F8" w14:textId="0E44EF51" w:rsidTr="00E60D1D"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C2E53F3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>Salarié non malade devant garder un enfant de moins de 16 ans suite à la fermeture d’un établissement scolaire</w:t>
            </w:r>
          </w:p>
        </w:tc>
        <w:tc>
          <w:tcPr>
            <w:tcW w:w="1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8574A27" w14:textId="1C52DB42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Déclaration employeur valant arrêt de travail + Attestation salarié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7C4687A" w14:textId="5593B3C0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Oui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  <w:t>Sans délai de carence ni condition d’ancienneté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4E8CD89" w14:textId="0DE4B232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Oui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  <w:t>Sans délai de carence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  <w:t>Sans condition d’ancienneté (</w:t>
            </w:r>
            <w:r>
              <w:rPr>
                <w:rFonts w:eastAsia="Times New Roman" w:cstheme="minorHAnsi"/>
                <w:sz w:val="18"/>
                <w:szCs w:val="18"/>
                <w:lang w:val="fr-FR" w:eastAsia="fr-FR"/>
              </w:rPr>
              <w:t>2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)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AFCE6A8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0A4FCEB2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2CD5536B" w14:textId="083F9550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Pas d’obligation de maintien de salaire car salarié non malade.</w:t>
            </w:r>
          </w:p>
        </w:tc>
        <w:tc>
          <w:tcPr>
            <w:tcW w:w="2835" w:type="dxa"/>
            <w:vMerge/>
            <w:tcBorders>
              <w:left w:val="single" w:sz="6" w:space="0" w:color="999999"/>
              <w:right w:val="single" w:sz="6" w:space="0" w:color="999999"/>
            </w:tcBorders>
          </w:tcPr>
          <w:p w14:paraId="34A40C7A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5137CA" w:rsidRPr="007F7057" w14:paraId="4BB64F07" w14:textId="0DD665B9" w:rsidTr="00E60D1D"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A19A9D4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>Salarié non malade devant garder un enfant handicapé entre 16 et 18 ans suite à la fermeture de son établissement scolaire</w:t>
            </w:r>
          </w:p>
        </w:tc>
        <w:tc>
          <w:tcPr>
            <w:tcW w:w="1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9528F2" w14:textId="32E4CC9E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Pas d’information particulière à ce jour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C64B5A0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Oui</w:t>
            </w:r>
          </w:p>
          <w:p w14:paraId="06509A5E" w14:textId="2BAB0A7C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Sans délai de carence ni condition d’ancienneté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D3EC271" w14:textId="28084BB5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Oui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  <w:t>Avec délai de carence de 7 jours et ancienneté minimale d'un an</w:t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EC760F0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58CFCCA3" w14:textId="6F064664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Pas d’obligation de maintien de salaire car salarié non malade.</w:t>
            </w:r>
          </w:p>
        </w:tc>
        <w:tc>
          <w:tcPr>
            <w:tcW w:w="2835" w:type="dxa"/>
            <w:vMerge/>
            <w:tcBorders>
              <w:left w:val="single" w:sz="6" w:space="0" w:color="999999"/>
              <w:right w:val="single" w:sz="6" w:space="0" w:color="999999"/>
            </w:tcBorders>
          </w:tcPr>
          <w:p w14:paraId="75DC0D52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  <w:tr w:rsidR="005137CA" w:rsidRPr="007F7057" w14:paraId="79EB68AA" w14:textId="77AB0C6D" w:rsidTr="00E60D1D">
        <w:tc>
          <w:tcPr>
            <w:tcW w:w="17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C02A18D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b/>
                <w:bCs/>
                <w:sz w:val="18"/>
                <w:szCs w:val="18"/>
                <w:lang w:val="fr-FR" w:eastAsia="fr-FR"/>
              </w:rPr>
              <w:t>Salarié non malade présentant un « risque élevé »</w:t>
            </w:r>
          </w:p>
        </w:tc>
        <w:tc>
          <w:tcPr>
            <w:tcW w:w="14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BFC682C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Déclaration en ligne du salarié sur le site ameli</w:t>
            </w:r>
          </w:p>
        </w:tc>
        <w:tc>
          <w:tcPr>
            <w:tcW w:w="19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D356AE7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Oui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  <w:t>Sans délai de carence ni condition d'ancienneté (voir le site ameli)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180ED3E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2552F0C4" w14:textId="74A177E1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Oui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  <w:t>Sans délai de carence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  <w:t>Sans condition d’ancienneté*</w:t>
            </w: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br/>
            </w:r>
          </w:p>
        </w:tc>
        <w:tc>
          <w:tcPr>
            <w:tcW w:w="2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A7DD420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  <w:p w14:paraId="5D1FB121" w14:textId="1ED708EB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7F7057">
              <w:rPr>
                <w:rFonts w:eastAsia="Times New Roman" w:cstheme="minorHAnsi"/>
                <w:sz w:val="18"/>
                <w:szCs w:val="18"/>
                <w:lang w:val="fr-FR" w:eastAsia="fr-FR"/>
              </w:rPr>
              <w:t>Pas d’obligation de maintien de salaire car salarié non malade.</w:t>
            </w:r>
          </w:p>
        </w:tc>
        <w:tc>
          <w:tcPr>
            <w:tcW w:w="2835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3A39DF5" w14:textId="77777777" w:rsidR="005137CA" w:rsidRPr="007F7057" w:rsidRDefault="005137CA" w:rsidP="00B455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</w:tbl>
    <w:p w14:paraId="15694005" w14:textId="6331BE4E" w:rsidR="00A66E9A" w:rsidRPr="007F7057" w:rsidRDefault="00A66E9A" w:rsidP="00803220">
      <w:pPr>
        <w:spacing w:after="0" w:line="240" w:lineRule="auto"/>
        <w:rPr>
          <w:rFonts w:cstheme="minorHAnsi"/>
          <w:bCs/>
          <w:sz w:val="28"/>
          <w:lang w:val="fr-FR"/>
        </w:rPr>
      </w:pPr>
    </w:p>
    <w:p w14:paraId="065EA336" w14:textId="77777777" w:rsidR="007F7057" w:rsidRPr="007F7057" w:rsidRDefault="007F7057" w:rsidP="00803220">
      <w:pPr>
        <w:spacing w:after="0" w:line="240" w:lineRule="auto"/>
        <w:rPr>
          <w:rFonts w:cstheme="minorHAnsi"/>
          <w:bCs/>
          <w:sz w:val="28"/>
          <w:lang w:val="fr-FR"/>
        </w:rPr>
      </w:pPr>
    </w:p>
    <w:p w14:paraId="01B791DA" w14:textId="01A0ACC7" w:rsidR="0085707F" w:rsidRPr="0085707F" w:rsidRDefault="0085707F" w:rsidP="007F7057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Cs/>
          <w:sz w:val="18"/>
          <w:szCs w:val="18"/>
          <w:lang w:val="fr-FR"/>
        </w:rPr>
      </w:pPr>
      <w:r>
        <w:rPr>
          <w:rFonts w:cstheme="minorHAnsi"/>
          <w:bCs/>
          <w:sz w:val="18"/>
          <w:szCs w:val="18"/>
          <w:lang w:val="fr-FR"/>
        </w:rPr>
        <w:t>A surveiller toutefois au regard des versements IJSS, car aussi étrange que cela puisse paraitre, ce cas n’est pas aussi clairement prévu par les textes</w:t>
      </w:r>
      <w:r w:rsidR="007224B2">
        <w:rPr>
          <w:rFonts w:cstheme="minorHAnsi"/>
          <w:bCs/>
          <w:sz w:val="18"/>
          <w:szCs w:val="18"/>
          <w:lang w:val="fr-FR"/>
        </w:rPr>
        <w:t xml:space="preserve"> et en particulier le par le Décret du 31 janvier 2020</w:t>
      </w:r>
      <w:r>
        <w:rPr>
          <w:rFonts w:cstheme="minorHAnsi"/>
          <w:bCs/>
          <w:sz w:val="18"/>
          <w:szCs w:val="18"/>
          <w:lang w:val="fr-FR"/>
        </w:rPr>
        <w:t>.</w:t>
      </w:r>
    </w:p>
    <w:p w14:paraId="4289F46D" w14:textId="1994EF93" w:rsidR="001A0231" w:rsidRPr="007F7057" w:rsidRDefault="007F7057" w:rsidP="007F7057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Cs/>
          <w:sz w:val="18"/>
          <w:szCs w:val="18"/>
          <w:lang w:val="fr-FR"/>
        </w:rPr>
      </w:pPr>
      <w:r>
        <w:rPr>
          <w:rFonts w:eastAsia="Times New Roman" w:cstheme="minorHAnsi"/>
          <w:sz w:val="18"/>
          <w:szCs w:val="18"/>
          <w:lang w:val="fr-FR" w:eastAsia="fr-FR"/>
        </w:rPr>
        <w:lastRenderedPageBreak/>
        <w:t>Rien ne dit que l’ordonnance est rétroactive, donc en principe, elle ne devrait s’appliquer que p</w:t>
      </w:r>
      <w:r w:rsidR="001A0231" w:rsidRPr="007F7057">
        <w:rPr>
          <w:rFonts w:eastAsia="Times New Roman" w:cstheme="minorHAnsi"/>
          <w:sz w:val="18"/>
          <w:szCs w:val="18"/>
          <w:lang w:val="fr-FR" w:eastAsia="fr-FR"/>
        </w:rPr>
        <w:t>our les arrêts à compter du 2</w:t>
      </w:r>
      <w:r>
        <w:rPr>
          <w:rFonts w:eastAsia="Times New Roman" w:cstheme="minorHAnsi"/>
          <w:sz w:val="18"/>
          <w:szCs w:val="18"/>
          <w:lang w:val="fr-FR" w:eastAsia="fr-FR"/>
        </w:rPr>
        <w:t>7</w:t>
      </w:r>
      <w:r w:rsidR="001A0231" w:rsidRPr="007F7057">
        <w:rPr>
          <w:rFonts w:eastAsia="Times New Roman" w:cstheme="minorHAnsi"/>
          <w:sz w:val="18"/>
          <w:szCs w:val="18"/>
          <w:lang w:val="fr-FR" w:eastAsia="fr-FR"/>
        </w:rPr>
        <w:t xml:space="preserve"> mars </w:t>
      </w:r>
      <w:r>
        <w:rPr>
          <w:rFonts w:eastAsia="Times New Roman" w:cstheme="minorHAnsi"/>
          <w:sz w:val="18"/>
          <w:szCs w:val="18"/>
          <w:lang w:val="fr-FR" w:eastAsia="fr-FR"/>
        </w:rPr>
        <w:t xml:space="preserve">(lendemain de la publication au JO) </w:t>
      </w:r>
      <w:r w:rsidR="001A0231" w:rsidRPr="007F7057">
        <w:rPr>
          <w:rFonts w:eastAsia="Times New Roman" w:cstheme="minorHAnsi"/>
          <w:sz w:val="18"/>
          <w:szCs w:val="18"/>
          <w:lang w:val="fr-FR" w:eastAsia="fr-FR"/>
        </w:rPr>
        <w:t>date d’entrée en vigueur de l’Ordonnance 2020-322 du 25 mars 2020</w:t>
      </w:r>
      <w:r>
        <w:rPr>
          <w:rFonts w:eastAsia="Times New Roman" w:cstheme="minorHAnsi"/>
          <w:sz w:val="18"/>
          <w:szCs w:val="18"/>
          <w:lang w:val="fr-FR" w:eastAsia="fr-FR"/>
        </w:rPr>
        <w:t>.</w:t>
      </w:r>
    </w:p>
    <w:p w14:paraId="02F50970" w14:textId="3441FB91" w:rsidR="007F7057" w:rsidRPr="007F7057" w:rsidRDefault="007F7057" w:rsidP="007F7057">
      <w:pPr>
        <w:pStyle w:val="Paragraphedeliste"/>
        <w:numPr>
          <w:ilvl w:val="0"/>
          <w:numId w:val="10"/>
        </w:numPr>
        <w:spacing w:after="0" w:line="240" w:lineRule="auto"/>
        <w:rPr>
          <w:rFonts w:cstheme="minorHAnsi"/>
          <w:bCs/>
          <w:sz w:val="18"/>
          <w:szCs w:val="18"/>
          <w:lang w:val="fr-FR"/>
        </w:rPr>
      </w:pPr>
      <w:r w:rsidRPr="007F7057">
        <w:rPr>
          <w:rFonts w:cstheme="minorHAnsi"/>
          <w:bCs/>
          <w:sz w:val="18"/>
          <w:szCs w:val="18"/>
          <w:lang w:val="fr-FR"/>
        </w:rPr>
        <w:t>Pour calculer la méthode la plus favorable, il ne faut pas « mélanger » les règles légales et conventionnelles. Cela veut dire qu’il faudra toujours comparer en maintenant le délai de carence conventionnel</w:t>
      </w:r>
    </w:p>
    <w:p w14:paraId="548F4D69" w14:textId="77777777" w:rsidR="001A0231" w:rsidRPr="007F7057" w:rsidRDefault="001A0231" w:rsidP="00803220">
      <w:pPr>
        <w:spacing w:after="0" w:line="240" w:lineRule="auto"/>
        <w:rPr>
          <w:rFonts w:cstheme="minorHAnsi"/>
          <w:bCs/>
          <w:u w:val="single"/>
          <w:lang w:val="fr-FR"/>
        </w:rPr>
      </w:pPr>
    </w:p>
    <w:p w14:paraId="63C27A3E" w14:textId="1233494A" w:rsidR="00803220" w:rsidRPr="007F7057" w:rsidRDefault="00803220" w:rsidP="00803220">
      <w:pPr>
        <w:spacing w:after="0" w:line="240" w:lineRule="auto"/>
        <w:rPr>
          <w:rFonts w:cstheme="minorHAnsi"/>
          <w:bCs/>
          <w:u w:val="single"/>
          <w:lang w:val="fr-FR"/>
        </w:rPr>
      </w:pPr>
      <w:r w:rsidRPr="007F7057">
        <w:rPr>
          <w:rFonts w:cstheme="minorHAnsi"/>
          <w:bCs/>
          <w:u w:val="single"/>
          <w:lang w:val="fr-FR"/>
        </w:rPr>
        <w:t>Textes de référence :</w:t>
      </w:r>
    </w:p>
    <w:p w14:paraId="2F686EF6" w14:textId="547590A8" w:rsidR="00803220" w:rsidRPr="007F7057" w:rsidRDefault="00803220" w:rsidP="00803220">
      <w:pPr>
        <w:spacing w:after="0" w:line="240" w:lineRule="auto"/>
        <w:rPr>
          <w:rFonts w:cstheme="minorHAnsi"/>
          <w:bCs/>
          <w:lang w:val="fr-FR"/>
        </w:rPr>
      </w:pPr>
    </w:p>
    <w:p w14:paraId="3D3B6D33" w14:textId="1EDE3138" w:rsidR="00803220" w:rsidRPr="007F7057" w:rsidRDefault="00803220" w:rsidP="00803220">
      <w:pPr>
        <w:spacing w:after="0" w:line="240" w:lineRule="auto"/>
        <w:rPr>
          <w:rFonts w:cstheme="minorHAnsi"/>
          <w:bCs/>
          <w:lang w:val="fr-FR"/>
        </w:rPr>
      </w:pPr>
      <w:r w:rsidRPr="007F7057">
        <w:rPr>
          <w:rFonts w:cstheme="minorHAnsi"/>
          <w:bCs/>
          <w:lang w:val="fr-FR"/>
        </w:rPr>
        <w:t>Ordonnance du n°2020-322 du 25 mars 2020</w:t>
      </w:r>
    </w:p>
    <w:p w14:paraId="4D12F8AD" w14:textId="030B5C58" w:rsidR="00803220" w:rsidRPr="007F7057" w:rsidRDefault="00803220" w:rsidP="00803220">
      <w:pPr>
        <w:spacing w:after="0" w:line="240" w:lineRule="auto"/>
        <w:rPr>
          <w:rFonts w:cstheme="minorHAnsi"/>
          <w:bCs/>
          <w:lang w:val="fr-FR"/>
        </w:rPr>
      </w:pPr>
      <w:r w:rsidRPr="007F7057">
        <w:rPr>
          <w:rFonts w:cstheme="minorHAnsi"/>
          <w:bCs/>
          <w:lang w:val="fr-FR"/>
        </w:rPr>
        <w:t xml:space="preserve">Décret </w:t>
      </w:r>
      <w:r w:rsidR="00617A01" w:rsidRPr="007F7057">
        <w:rPr>
          <w:rFonts w:cstheme="minorHAnsi"/>
          <w:bCs/>
          <w:lang w:val="fr-FR"/>
        </w:rPr>
        <w:t>n°</w:t>
      </w:r>
      <w:r w:rsidRPr="007F7057">
        <w:rPr>
          <w:rFonts w:cstheme="minorHAnsi"/>
          <w:bCs/>
          <w:lang w:val="fr-FR"/>
        </w:rPr>
        <w:t>2020-193 du 4 mars 2020</w:t>
      </w:r>
    </w:p>
    <w:p w14:paraId="07028A76" w14:textId="77777777" w:rsidR="00617A01" w:rsidRPr="007F7057" w:rsidRDefault="00617A01" w:rsidP="00803220">
      <w:pPr>
        <w:spacing w:after="0" w:line="240" w:lineRule="auto"/>
        <w:rPr>
          <w:rFonts w:cstheme="minorHAnsi"/>
          <w:bCs/>
          <w:lang w:val="fr-FR"/>
        </w:rPr>
      </w:pPr>
      <w:r w:rsidRPr="007F7057">
        <w:rPr>
          <w:rFonts w:cstheme="minorHAnsi"/>
          <w:bCs/>
          <w:lang w:val="fr-FR"/>
        </w:rPr>
        <w:t>Décret n° 2020-73 du 31 janvier 2020</w:t>
      </w:r>
    </w:p>
    <w:p w14:paraId="427CC376" w14:textId="159EC544" w:rsidR="00803220" w:rsidRPr="007F7057" w:rsidRDefault="00803220" w:rsidP="00803220">
      <w:pPr>
        <w:spacing w:after="0" w:line="240" w:lineRule="auto"/>
        <w:rPr>
          <w:rFonts w:cstheme="minorHAnsi"/>
          <w:bCs/>
          <w:lang w:val="fr-FR"/>
        </w:rPr>
      </w:pPr>
      <w:r w:rsidRPr="007F7057">
        <w:rPr>
          <w:rFonts w:cstheme="minorHAnsi"/>
          <w:bCs/>
          <w:lang w:val="fr-FR"/>
        </w:rPr>
        <w:t>Articles L1226-1 et D 1226-1 du code du travail</w:t>
      </w:r>
    </w:p>
    <w:p w14:paraId="15366529" w14:textId="0857C7F9" w:rsidR="00803220" w:rsidRPr="007F7057" w:rsidRDefault="00803220" w:rsidP="00803220">
      <w:pPr>
        <w:spacing w:after="0" w:line="240" w:lineRule="auto"/>
        <w:rPr>
          <w:rFonts w:cstheme="minorHAnsi"/>
          <w:bCs/>
          <w:lang w:val="fr-FR"/>
        </w:rPr>
      </w:pPr>
      <w:r w:rsidRPr="007F7057">
        <w:rPr>
          <w:rFonts w:cstheme="minorHAnsi"/>
          <w:bCs/>
          <w:lang w:val="fr-FR"/>
        </w:rPr>
        <w:t>Article 4.3.1 de la CCN du sport</w:t>
      </w:r>
    </w:p>
    <w:sectPr w:rsidR="00803220" w:rsidRPr="007F7057" w:rsidSect="001A0231">
      <w:pgSz w:w="15840" w:h="12240" w:orient="landscape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068EC" w14:textId="77777777" w:rsidR="00486257" w:rsidRDefault="00486257" w:rsidP="00E37CCC">
      <w:pPr>
        <w:spacing w:after="0" w:line="240" w:lineRule="auto"/>
      </w:pPr>
      <w:r>
        <w:separator/>
      </w:r>
    </w:p>
  </w:endnote>
  <w:endnote w:type="continuationSeparator" w:id="0">
    <w:p w14:paraId="5D4C844B" w14:textId="77777777" w:rsidR="00486257" w:rsidRDefault="00486257" w:rsidP="00E3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83CED" w14:textId="77777777" w:rsidR="00486257" w:rsidRDefault="00486257" w:rsidP="00E37CCC">
      <w:pPr>
        <w:spacing w:after="0" w:line="240" w:lineRule="auto"/>
      </w:pPr>
      <w:r>
        <w:separator/>
      </w:r>
    </w:p>
  </w:footnote>
  <w:footnote w:type="continuationSeparator" w:id="0">
    <w:p w14:paraId="6003DD9F" w14:textId="77777777" w:rsidR="00486257" w:rsidRDefault="00486257" w:rsidP="00E3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A54"/>
    <w:multiLevelType w:val="hybridMultilevel"/>
    <w:tmpl w:val="E97835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4C4"/>
    <w:multiLevelType w:val="hybridMultilevel"/>
    <w:tmpl w:val="0A84BE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258B"/>
    <w:multiLevelType w:val="hybridMultilevel"/>
    <w:tmpl w:val="7DCA3A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438AD"/>
    <w:multiLevelType w:val="hybridMultilevel"/>
    <w:tmpl w:val="3C4CC45E"/>
    <w:lvl w:ilvl="0" w:tplc="5C547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4471C"/>
    <w:multiLevelType w:val="hybridMultilevel"/>
    <w:tmpl w:val="978A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39C6"/>
    <w:multiLevelType w:val="hybridMultilevel"/>
    <w:tmpl w:val="3D9865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52DCA"/>
    <w:multiLevelType w:val="hybridMultilevel"/>
    <w:tmpl w:val="D6424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407D4"/>
    <w:multiLevelType w:val="multilevel"/>
    <w:tmpl w:val="F67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140D3"/>
    <w:multiLevelType w:val="hybridMultilevel"/>
    <w:tmpl w:val="10A4D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06CB9"/>
    <w:multiLevelType w:val="hybridMultilevel"/>
    <w:tmpl w:val="BD6ED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34"/>
    <w:rsid w:val="000031AA"/>
    <w:rsid w:val="00006EC0"/>
    <w:rsid w:val="00051F2A"/>
    <w:rsid w:val="00063E9D"/>
    <w:rsid w:val="000A441B"/>
    <w:rsid w:val="0013732B"/>
    <w:rsid w:val="00173A49"/>
    <w:rsid w:val="001A0231"/>
    <w:rsid w:val="001B50A7"/>
    <w:rsid w:val="001F6BB2"/>
    <w:rsid w:val="002274C8"/>
    <w:rsid w:val="00242B96"/>
    <w:rsid w:val="00286E9A"/>
    <w:rsid w:val="002C6458"/>
    <w:rsid w:val="003069DF"/>
    <w:rsid w:val="00312DCE"/>
    <w:rsid w:val="00317999"/>
    <w:rsid w:val="00386011"/>
    <w:rsid w:val="003964BB"/>
    <w:rsid w:val="003A54DB"/>
    <w:rsid w:val="003C75C0"/>
    <w:rsid w:val="003F34A7"/>
    <w:rsid w:val="003F4975"/>
    <w:rsid w:val="00430834"/>
    <w:rsid w:val="0044776F"/>
    <w:rsid w:val="00476071"/>
    <w:rsid w:val="00486257"/>
    <w:rsid w:val="004B2FD1"/>
    <w:rsid w:val="004C0407"/>
    <w:rsid w:val="004E6733"/>
    <w:rsid w:val="004F334A"/>
    <w:rsid w:val="005137CA"/>
    <w:rsid w:val="005317AD"/>
    <w:rsid w:val="0053767C"/>
    <w:rsid w:val="005B6D33"/>
    <w:rsid w:val="005C0F76"/>
    <w:rsid w:val="005D50FA"/>
    <w:rsid w:val="005E6853"/>
    <w:rsid w:val="00617A01"/>
    <w:rsid w:val="00684FDB"/>
    <w:rsid w:val="006D360E"/>
    <w:rsid w:val="007224B2"/>
    <w:rsid w:val="00756CD4"/>
    <w:rsid w:val="00762EFD"/>
    <w:rsid w:val="0078576D"/>
    <w:rsid w:val="00787DD6"/>
    <w:rsid w:val="0079237C"/>
    <w:rsid w:val="007A35F5"/>
    <w:rsid w:val="007D04AF"/>
    <w:rsid w:val="007D52A4"/>
    <w:rsid w:val="007E79E2"/>
    <w:rsid w:val="007F7057"/>
    <w:rsid w:val="00803220"/>
    <w:rsid w:val="0085402A"/>
    <w:rsid w:val="0085707F"/>
    <w:rsid w:val="008D286A"/>
    <w:rsid w:val="00903951"/>
    <w:rsid w:val="009263E0"/>
    <w:rsid w:val="00973D6A"/>
    <w:rsid w:val="009913D9"/>
    <w:rsid w:val="009B4D0E"/>
    <w:rsid w:val="00A21492"/>
    <w:rsid w:val="00A6271E"/>
    <w:rsid w:val="00A66E9A"/>
    <w:rsid w:val="00AF0799"/>
    <w:rsid w:val="00B3061A"/>
    <w:rsid w:val="00B45597"/>
    <w:rsid w:val="00B5150F"/>
    <w:rsid w:val="00BE061B"/>
    <w:rsid w:val="00BF11C6"/>
    <w:rsid w:val="00C94695"/>
    <w:rsid w:val="00CB5694"/>
    <w:rsid w:val="00CF5DDD"/>
    <w:rsid w:val="00D82057"/>
    <w:rsid w:val="00DA4D87"/>
    <w:rsid w:val="00DA744A"/>
    <w:rsid w:val="00DC6861"/>
    <w:rsid w:val="00E306CA"/>
    <w:rsid w:val="00E37CCC"/>
    <w:rsid w:val="00EA5957"/>
    <w:rsid w:val="00EC09DB"/>
    <w:rsid w:val="00ED6167"/>
    <w:rsid w:val="00EE6EEE"/>
    <w:rsid w:val="00F37F7B"/>
    <w:rsid w:val="00F41914"/>
    <w:rsid w:val="00F50DF7"/>
    <w:rsid w:val="00F649AE"/>
    <w:rsid w:val="00F70095"/>
    <w:rsid w:val="00F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AD567"/>
  <w15:docId w15:val="{B667FAE1-76A1-4042-8B3E-2CD80F00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8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F334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7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B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7C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CCC"/>
  </w:style>
  <w:style w:type="paragraph" w:styleId="Pieddepage">
    <w:name w:val="footer"/>
    <w:basedOn w:val="Normal"/>
    <w:link w:val="PieddepageCar"/>
    <w:uiPriority w:val="99"/>
    <w:unhideWhenUsed/>
    <w:rsid w:val="00E37C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CCC"/>
  </w:style>
  <w:style w:type="paragraph" w:styleId="NormalWeb">
    <w:name w:val="Normal (Web)"/>
    <w:basedOn w:val="Normal"/>
    <w:uiPriority w:val="99"/>
    <w:semiHidden/>
    <w:unhideWhenUsed/>
    <w:rsid w:val="00BF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A66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37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98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B568-7794-43B1-BA72-41695D39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Laude</dc:creator>
  <cp:lastModifiedBy>Florent</cp:lastModifiedBy>
  <cp:revision>27</cp:revision>
  <dcterms:created xsi:type="dcterms:W3CDTF">2020-03-26T15:42:00Z</dcterms:created>
  <dcterms:modified xsi:type="dcterms:W3CDTF">2020-03-27T10:47:00Z</dcterms:modified>
</cp:coreProperties>
</file>