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5" w:rsidRPr="002A73A7" w:rsidRDefault="00421655" w:rsidP="00482D5A">
      <w:pPr>
        <w:pStyle w:val="Default"/>
        <w:jc w:val="both"/>
        <w:rPr>
          <w:rFonts w:cstheme="minorBidi"/>
          <w:b/>
          <w:color w:val="auto"/>
          <w:sz w:val="25"/>
          <w:szCs w:val="25"/>
        </w:rPr>
      </w:pPr>
      <w:r w:rsidRPr="002A73A7">
        <w:rPr>
          <w:rFonts w:cstheme="minorBidi"/>
          <w:b/>
          <w:color w:val="auto"/>
          <w:sz w:val="25"/>
          <w:szCs w:val="25"/>
        </w:rPr>
        <w:t xml:space="preserve">Article 7 – Certificat médical 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En application de l’article L.231-2 du Code du sport, l’obtention d’une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licence d’une fédération sportive est subordonnée à la présentation d’un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certificat médical datant de moins d’un an et permettant d’établir l’absence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de contre-indication à la pratique du sport ou, le cas échéant, de la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discipline concernée.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Lorsque la licence sollicitée permet la participation aux compétitions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organisées par une fédération sportive, le certificat médical atteste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l’absence de contre-indication à la pratique du sport ou de la discipline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concernés en compétition.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Les modalités de renouvellement de la licence, et notamment la fréquence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à laquelle un nouveau certificat est exigé, sont fixées par décret (3 années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proofErr w:type="gramStart"/>
      <w:r w:rsidRPr="002A73A7">
        <w:rPr>
          <w:rFonts w:cstheme="minorBidi"/>
          <w:color w:val="auto"/>
          <w:sz w:val="25"/>
          <w:szCs w:val="25"/>
        </w:rPr>
        <w:t>par</w:t>
      </w:r>
      <w:proofErr w:type="gramEnd"/>
      <w:r w:rsidRPr="002A73A7">
        <w:rPr>
          <w:rFonts w:cstheme="minorBidi"/>
          <w:color w:val="auto"/>
          <w:sz w:val="25"/>
          <w:szCs w:val="25"/>
        </w:rPr>
        <w:t xml:space="preserve"> décret n° 2016-1157 du 24 août 2016).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Le judo-jujitsu ne fait pas partie des disciplines sportives à contraintes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particulières au sens de l’article L. 231-2-3 et D. 231-1-5. La présentation</w:t>
      </w:r>
    </w:p>
    <w:p w:rsidR="00482D5A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proofErr w:type="gramStart"/>
      <w:r w:rsidRPr="002A73A7">
        <w:rPr>
          <w:rFonts w:cstheme="minorBidi"/>
          <w:color w:val="auto"/>
          <w:sz w:val="25"/>
          <w:szCs w:val="25"/>
        </w:rPr>
        <w:t>du</w:t>
      </w:r>
      <w:proofErr w:type="gramEnd"/>
      <w:r w:rsidRPr="002A73A7">
        <w:rPr>
          <w:rFonts w:cstheme="minorBidi"/>
          <w:color w:val="auto"/>
          <w:sz w:val="25"/>
          <w:szCs w:val="25"/>
        </w:rPr>
        <w:t xml:space="preserve"> certificat médical d’absence de contre-indication datant de moins d’un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an est exigée tous les 3 ans lorsque le sportif ne pratique pas la compétition.</w:t>
      </w:r>
      <w:r w:rsidR="005375D4" w:rsidRPr="002A73A7">
        <w:rPr>
          <w:rFonts w:cstheme="minorBidi"/>
          <w:color w:val="auto"/>
          <w:sz w:val="25"/>
          <w:szCs w:val="25"/>
        </w:rPr>
        <w:t xml:space="preserve"> </w:t>
      </w:r>
    </w:p>
    <w:p w:rsidR="00421655" w:rsidRPr="002A73A7" w:rsidRDefault="00421655" w:rsidP="00482D5A">
      <w:pPr>
        <w:pStyle w:val="Default"/>
        <w:jc w:val="both"/>
        <w:rPr>
          <w:rFonts w:cstheme="minorBidi"/>
          <w:b/>
          <w:color w:val="auto"/>
          <w:sz w:val="25"/>
          <w:szCs w:val="25"/>
        </w:rPr>
      </w:pPr>
      <w:r w:rsidRPr="002A73A7">
        <w:rPr>
          <w:rFonts w:cstheme="minorBidi"/>
          <w:b/>
          <w:color w:val="auto"/>
          <w:sz w:val="25"/>
          <w:szCs w:val="25"/>
        </w:rPr>
        <w:t xml:space="preserve">Article 8 : Précisions pour la compétition 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L’attestation de non contre-indication peut être portée sur le passeport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sportif du pratiquant, avec date d’établissement, signature et cachet du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médecin.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Sont considérées comme compétition, toutes épreuves sportives conclues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par un classement et/ou la délivrance d’un titre, dont la liste est définie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dans le code sportif. Cette liste est proposée par la DTN et la commission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médicale et approuvée par le conseil d’administration fédéral.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 xml:space="preserve">Tout </w:t>
      </w:r>
      <w:proofErr w:type="spellStart"/>
      <w:r w:rsidRPr="002A73A7">
        <w:rPr>
          <w:rFonts w:cstheme="minorBidi"/>
          <w:color w:val="auto"/>
          <w:sz w:val="25"/>
          <w:szCs w:val="25"/>
        </w:rPr>
        <w:t>surclassement</w:t>
      </w:r>
      <w:proofErr w:type="spellEnd"/>
      <w:r w:rsidRPr="002A73A7">
        <w:rPr>
          <w:rFonts w:cstheme="minorBidi"/>
          <w:color w:val="auto"/>
          <w:sz w:val="25"/>
          <w:szCs w:val="25"/>
        </w:rPr>
        <w:t xml:space="preserve"> d’une catégorie d’âge selon le code sportif et les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règlements de compétition de la FFJDA est subordonné à l’établissement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 xml:space="preserve">d’un certificat de non contre-indication à ce </w:t>
      </w:r>
      <w:proofErr w:type="spellStart"/>
      <w:r w:rsidRPr="002A73A7">
        <w:rPr>
          <w:rFonts w:cstheme="minorBidi"/>
          <w:color w:val="auto"/>
          <w:sz w:val="25"/>
          <w:szCs w:val="25"/>
        </w:rPr>
        <w:t>surclassement</w:t>
      </w:r>
      <w:proofErr w:type="spellEnd"/>
      <w:r w:rsidRPr="002A73A7">
        <w:rPr>
          <w:rFonts w:cstheme="minorBidi"/>
          <w:color w:val="auto"/>
          <w:sz w:val="25"/>
          <w:szCs w:val="25"/>
        </w:rPr>
        <w:t xml:space="preserve"> datant de moins</w:t>
      </w:r>
    </w:p>
    <w:p w:rsidR="00421655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proofErr w:type="gramStart"/>
      <w:r w:rsidRPr="002A73A7">
        <w:rPr>
          <w:rFonts w:cstheme="minorBidi"/>
          <w:color w:val="auto"/>
          <w:sz w:val="25"/>
          <w:szCs w:val="25"/>
        </w:rPr>
        <w:t>de</w:t>
      </w:r>
      <w:proofErr w:type="gramEnd"/>
      <w:r w:rsidRPr="002A73A7">
        <w:rPr>
          <w:rFonts w:cstheme="minorBidi"/>
          <w:color w:val="auto"/>
          <w:sz w:val="25"/>
          <w:szCs w:val="25"/>
        </w:rPr>
        <w:t xml:space="preserve"> 120 jours.</w:t>
      </w:r>
    </w:p>
    <w:p w:rsidR="00482D5A" w:rsidRPr="002A73A7" w:rsidRDefault="00482D5A" w:rsidP="00482D5A">
      <w:pPr>
        <w:pStyle w:val="Default"/>
        <w:jc w:val="both"/>
        <w:rPr>
          <w:rFonts w:cstheme="minorBidi"/>
          <w:color w:val="auto"/>
          <w:sz w:val="25"/>
          <w:szCs w:val="25"/>
        </w:rPr>
      </w:pPr>
    </w:p>
    <w:p w:rsidR="00421655" w:rsidRPr="002A73A7" w:rsidRDefault="00421655" w:rsidP="00482D5A">
      <w:pPr>
        <w:pStyle w:val="Default"/>
        <w:jc w:val="both"/>
        <w:rPr>
          <w:rFonts w:cstheme="minorBidi"/>
          <w:b/>
          <w:color w:val="auto"/>
          <w:sz w:val="25"/>
          <w:szCs w:val="25"/>
        </w:rPr>
      </w:pPr>
      <w:r w:rsidRPr="002A73A7">
        <w:rPr>
          <w:rFonts w:cstheme="minorBidi"/>
          <w:b/>
          <w:color w:val="auto"/>
          <w:sz w:val="25"/>
          <w:szCs w:val="25"/>
        </w:rPr>
        <w:t xml:space="preserve">Article 10 : examen médical d'obtention du certificat 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L’obtention des certificats médicaux mentionnés à l’article 8 est la conclusion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d’un examen médical qui peut être réalisé par tout médecin titulaire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du doctorat d’État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La commission médicale de la FFJDA rappelle que l’examen médical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permettant de délivrer ce certificat engage la responsabilité du médecin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signataire.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Il juge de la nécessité d’éventuels examens complémentaires. Cet examen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médical ne doit jamais être pratiqué à l’improviste, sur le terrain ou dans les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vestiaires avant les compétitions.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L’examen clinique tient compte de l’âge et du niveau sportif du compétiteur.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Le médecin recueille les antécédents et les pathologies antérieures, liées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ou non à la pratique de la discipline, consulte le carnet de santé fourni par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le sportif et constitue un dossier médical.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Le médecin attache une attention toute particulière à l’examen de l’appareil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locomoteur, de l’appareil cardio-vasculaire et respiratoire et du revêtement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cutané.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Un relevé anthropométrique est nécessaire comprenant la taille, le poids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et si possible la masse grasse corporelle. La dentition est examinée. Un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entretien diététique est souvent utile. Le médecin conseille le choix de la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catégorie de poids.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lastRenderedPageBreak/>
        <w:t>Les vaccinations doivent être à jour, répondre aux obligations et aux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recommandations.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A) La commission médicale insiste sur le fait que les contre-indications à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proofErr w:type="gramStart"/>
      <w:r w:rsidRPr="002A73A7">
        <w:rPr>
          <w:rFonts w:cstheme="minorBidi"/>
          <w:color w:val="auto"/>
          <w:sz w:val="25"/>
          <w:szCs w:val="25"/>
        </w:rPr>
        <w:t>la</w:t>
      </w:r>
      <w:proofErr w:type="gramEnd"/>
      <w:r w:rsidRPr="002A73A7">
        <w:rPr>
          <w:rFonts w:cstheme="minorBidi"/>
          <w:color w:val="auto"/>
          <w:sz w:val="25"/>
          <w:szCs w:val="25"/>
        </w:rPr>
        <w:t xml:space="preserve"> pratique de la discipline dépendent de la nature de l’affection, de son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retentissement fonctionnel, du stade évolutif, de l’âge et du niveau sportif.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Les contre-indications peuvent être permanentes ou temporaires, absolues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ou relatives.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Le médecin prescrit les examens complémentaires qu’il juge utiles en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fonction de son examen clinique et de l’interrogatoire.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 xml:space="preserve">B) Concernant le certificat de non contre-indication au </w:t>
      </w:r>
      <w:proofErr w:type="spellStart"/>
      <w:r w:rsidRPr="002A73A7">
        <w:rPr>
          <w:rFonts w:cstheme="minorBidi"/>
          <w:color w:val="auto"/>
          <w:sz w:val="25"/>
          <w:szCs w:val="25"/>
        </w:rPr>
        <w:t>surclassement</w:t>
      </w:r>
      <w:proofErr w:type="spellEnd"/>
      <w:r w:rsidRPr="002A73A7">
        <w:rPr>
          <w:rFonts w:cstheme="minorBidi"/>
          <w:color w:val="auto"/>
          <w:sz w:val="25"/>
          <w:szCs w:val="25"/>
        </w:rPr>
        <w:t xml:space="preserve"> pour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la catégorie cadet et cadette, les médecins recherchent, entre autres, des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problèmes induits par un éventuel surentraînement et des pathologies de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croissance chez ces adolescents sportifs.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 xml:space="preserve">Les réactions cardio-vasculaires à l’effort sont </w:t>
      </w:r>
      <w:bookmarkStart w:id="0" w:name="_GoBack"/>
      <w:r w:rsidRPr="002A73A7">
        <w:rPr>
          <w:rFonts w:cstheme="minorBidi"/>
          <w:color w:val="auto"/>
          <w:sz w:val="25"/>
          <w:szCs w:val="25"/>
        </w:rPr>
        <w:t>étudiées et l’examen de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 xml:space="preserve">l’appareil </w:t>
      </w:r>
      <w:bookmarkEnd w:id="0"/>
      <w:r w:rsidRPr="002A73A7">
        <w:rPr>
          <w:rFonts w:cstheme="minorBidi"/>
          <w:color w:val="auto"/>
          <w:sz w:val="25"/>
          <w:szCs w:val="25"/>
        </w:rPr>
        <w:t>locomoteur, notamment du rachis est particulièrement attentif.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C) La commission médicale recommande un examen cardio-vasculaire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 xml:space="preserve">préalable </w:t>
      </w:r>
      <w:r w:rsidRPr="002A73A7">
        <w:rPr>
          <w:rFonts w:cstheme="minorBidi"/>
          <w:b/>
          <w:color w:val="FF0000"/>
          <w:sz w:val="25"/>
          <w:szCs w:val="25"/>
        </w:rPr>
        <w:t>approfondi pour tout judoka, de plus de 35 ans pour les hommes</w:t>
      </w:r>
      <w:r w:rsidRPr="002A73A7">
        <w:rPr>
          <w:rFonts w:cstheme="minorBidi"/>
          <w:b/>
          <w:color w:val="FF0000"/>
          <w:sz w:val="25"/>
          <w:szCs w:val="25"/>
        </w:rPr>
        <w:t xml:space="preserve"> </w:t>
      </w:r>
      <w:r w:rsidRPr="002A73A7">
        <w:rPr>
          <w:rFonts w:cstheme="minorBidi"/>
          <w:b/>
          <w:color w:val="FF0000"/>
          <w:sz w:val="25"/>
          <w:szCs w:val="25"/>
        </w:rPr>
        <w:t>et 45 ans pour les femmes, reprenant une activité intense</w:t>
      </w:r>
      <w:r w:rsidRPr="002A73A7">
        <w:rPr>
          <w:rFonts w:cstheme="minorBidi"/>
          <w:color w:val="FF0000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ou participant à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des compétitions ou si le judoka présente un ou plusieurs symptômes et/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ou facteurs de risques cardio-vasculaires. La répétition de ce bilan cardiovasculaire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sera discutée au cas par cas selon l’avis médical en tenant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compte de l’âge, des facteurs de risques cardio-vasculaires, du résultat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du précédent bilan cardio-vasculaire et des éventuels symptômes du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pratiquant.</w:t>
      </w:r>
    </w:p>
    <w:p w:rsidR="008C52C6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D) À l’occasion de la consultation pour l’obtention du certificat de non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contre-</w:t>
      </w:r>
      <w:r w:rsidRPr="002A73A7">
        <w:rPr>
          <w:rFonts w:cstheme="minorBidi"/>
          <w:color w:val="auto"/>
          <w:sz w:val="25"/>
          <w:szCs w:val="25"/>
        </w:rPr>
        <w:t>indication à la compétition, le sportif diabétique porteur d’un cathéter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souple sous-cutané sur l’abdomen selon l’article 13 du règlement médical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doit bénéficier d’informations relatives à la protection du dispositif et à la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bonne gestion de l’insulinothérapie en cas de dysfonctionnement.</w:t>
      </w:r>
    </w:p>
    <w:p w:rsidR="00421655" w:rsidRPr="002A73A7" w:rsidRDefault="008C52C6" w:rsidP="008C52C6">
      <w:pPr>
        <w:pStyle w:val="Default"/>
        <w:jc w:val="both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Les insulines sont inscrites sur la liste des substances interdites en et hors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 xml:space="preserve">compétition dans le cadre de la lutte contre le dopage. Les </w:t>
      </w:r>
      <w:proofErr w:type="gramStart"/>
      <w:r w:rsidRPr="002A73A7">
        <w:rPr>
          <w:rFonts w:cstheme="minorBidi"/>
          <w:color w:val="auto"/>
          <w:sz w:val="25"/>
          <w:szCs w:val="25"/>
        </w:rPr>
        <w:t>judoka</w:t>
      </w:r>
      <w:proofErr w:type="gramEnd"/>
      <w:r w:rsidRPr="002A73A7">
        <w:rPr>
          <w:rFonts w:cstheme="minorBidi"/>
          <w:color w:val="auto"/>
          <w:sz w:val="25"/>
          <w:szCs w:val="25"/>
        </w:rPr>
        <w:t xml:space="preserve"> diabétiques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ont à requérir une Autorisation d’Usage à des fins thérapeutiques.</w:t>
      </w:r>
      <w:r w:rsidR="00421655" w:rsidRPr="002A73A7">
        <w:rPr>
          <w:rFonts w:cstheme="minorBidi"/>
          <w:color w:val="auto"/>
          <w:sz w:val="25"/>
          <w:szCs w:val="25"/>
        </w:rPr>
        <w:t xml:space="preserve"> </w:t>
      </w:r>
    </w:p>
    <w:p w:rsidR="00421655" w:rsidRPr="002A73A7" w:rsidRDefault="00421655" w:rsidP="00482D5A">
      <w:pPr>
        <w:pStyle w:val="Default"/>
        <w:jc w:val="both"/>
        <w:rPr>
          <w:rFonts w:cstheme="minorBidi"/>
          <w:color w:val="auto"/>
          <w:sz w:val="25"/>
          <w:szCs w:val="25"/>
        </w:rPr>
      </w:pPr>
    </w:p>
    <w:p w:rsidR="00421655" w:rsidRPr="002A73A7" w:rsidRDefault="00421655" w:rsidP="00482D5A">
      <w:pPr>
        <w:pStyle w:val="Default"/>
        <w:jc w:val="both"/>
        <w:rPr>
          <w:rFonts w:cstheme="minorBidi"/>
          <w:b/>
          <w:color w:val="auto"/>
          <w:sz w:val="25"/>
          <w:szCs w:val="25"/>
        </w:rPr>
      </w:pPr>
      <w:r w:rsidRPr="002A73A7">
        <w:rPr>
          <w:rFonts w:cstheme="minorBidi"/>
          <w:b/>
          <w:color w:val="auto"/>
          <w:sz w:val="25"/>
          <w:szCs w:val="25"/>
        </w:rPr>
        <w:t xml:space="preserve">Article 11 : contre-indication et reprise de l'activité </w:t>
      </w:r>
    </w:p>
    <w:p w:rsidR="008C52C6" w:rsidRPr="002A73A7" w:rsidRDefault="008C52C6" w:rsidP="008C52C6">
      <w:pPr>
        <w:pStyle w:val="Default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Tout médecin a la possibilité d’établir un certificat de contre-indication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temporaire à la pratique de la discipline en compétition à tout pratiquant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examiné, lui paraissant en mauvaise condition physique ou après un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traumatisme. Ce certificat sera remis au sportif.</w:t>
      </w:r>
    </w:p>
    <w:p w:rsidR="008C52C6" w:rsidRPr="002A73A7" w:rsidRDefault="008C52C6" w:rsidP="008C52C6">
      <w:pPr>
        <w:pStyle w:val="Default"/>
        <w:rPr>
          <w:rFonts w:cstheme="minorBidi"/>
          <w:color w:val="auto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La commission médicale peut statuer pour un sportif, sur une contre-indication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médicale à la pratique d’une discipline fédérale. Cette contre-indication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sera motivée et indiquée personnellement au sportif.</w:t>
      </w:r>
    </w:p>
    <w:p w:rsidR="005375D4" w:rsidRPr="002A73A7" w:rsidRDefault="008C52C6" w:rsidP="008C52C6">
      <w:pPr>
        <w:pStyle w:val="Default"/>
        <w:rPr>
          <w:rFonts w:ascii="Franklin Gothic Book" w:hAnsi="Franklin Gothic Book" w:cs="Franklin Gothic Book"/>
          <w:sz w:val="25"/>
          <w:szCs w:val="25"/>
        </w:rPr>
      </w:pPr>
      <w:r w:rsidRPr="002A73A7">
        <w:rPr>
          <w:rFonts w:cstheme="minorBidi"/>
          <w:color w:val="auto"/>
          <w:sz w:val="25"/>
          <w:szCs w:val="25"/>
        </w:rPr>
        <w:t>Tout licencié qui a fait l’objet d’une contre-indication médicale temporaire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color w:val="auto"/>
          <w:sz w:val="25"/>
          <w:szCs w:val="25"/>
        </w:rPr>
        <w:t>à la pratique de la discipline doit fournir un certificat médical préalable à la</w:t>
      </w:r>
      <w:r w:rsidRPr="002A73A7">
        <w:rPr>
          <w:rFonts w:cstheme="minorBidi"/>
          <w:color w:val="auto"/>
          <w:sz w:val="25"/>
          <w:szCs w:val="25"/>
        </w:rPr>
        <w:t xml:space="preserve"> </w:t>
      </w:r>
      <w:r w:rsidRPr="002A73A7">
        <w:rPr>
          <w:rFonts w:cstheme="minorBidi"/>
          <w:b/>
          <w:color w:val="FF0000"/>
          <w:sz w:val="25"/>
          <w:szCs w:val="25"/>
        </w:rPr>
        <w:t>reprise de l’activité</w:t>
      </w:r>
      <w:r w:rsidRPr="002A73A7">
        <w:rPr>
          <w:rFonts w:cstheme="minorBidi"/>
          <w:color w:val="auto"/>
          <w:sz w:val="25"/>
          <w:szCs w:val="25"/>
        </w:rPr>
        <w:t>.</w:t>
      </w:r>
    </w:p>
    <w:sectPr w:rsidR="005375D4" w:rsidRPr="002A73A7" w:rsidSect="002A73A7">
      <w:headerReference w:type="default" r:id="rId8"/>
      <w:footerReference w:type="default" r:id="rId9"/>
      <w:pgSz w:w="11906" w:h="16838"/>
      <w:pgMar w:top="1417" w:right="849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F8" w:rsidRDefault="00DE35F8" w:rsidP="00421655">
      <w:pPr>
        <w:spacing w:after="0" w:line="240" w:lineRule="auto"/>
      </w:pPr>
      <w:r>
        <w:separator/>
      </w:r>
    </w:p>
  </w:endnote>
  <w:endnote w:type="continuationSeparator" w:id="0">
    <w:p w:rsidR="00DE35F8" w:rsidRDefault="00DE35F8" w:rsidP="0042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ayonara Beveled">
    <w:altName w:val="Sayonara Bevel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55" w:rsidRDefault="00421655">
    <w:pPr>
      <w:pStyle w:val="Pieddepage"/>
    </w:pPr>
    <w:r>
      <w:rPr>
        <w:sz w:val="20"/>
        <w:szCs w:val="20"/>
      </w:rPr>
      <w:t xml:space="preserve">p. 3 - </w:t>
    </w:r>
    <w:r>
      <w:rPr>
        <w:sz w:val="18"/>
        <w:szCs w:val="18"/>
      </w:rPr>
      <w:t>Annexe 7 – Règlement médical de la FFJDA [adopté par l’assemblée générale fédérale du 09 mai 2017 à Caen]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F8" w:rsidRDefault="00DE35F8" w:rsidP="00421655">
      <w:pPr>
        <w:spacing w:after="0" w:line="240" w:lineRule="auto"/>
      </w:pPr>
      <w:r>
        <w:separator/>
      </w:r>
    </w:p>
  </w:footnote>
  <w:footnote w:type="continuationSeparator" w:id="0">
    <w:p w:rsidR="00DE35F8" w:rsidRDefault="00DE35F8" w:rsidP="0042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5A" w:rsidRDefault="00482D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CF4DB1" wp14:editId="00E47757">
          <wp:simplePos x="0" y="0"/>
          <wp:positionH relativeFrom="column">
            <wp:posOffset>-144145</wp:posOffset>
          </wp:positionH>
          <wp:positionV relativeFrom="paragraph">
            <wp:posOffset>95885</wp:posOffset>
          </wp:positionV>
          <wp:extent cx="741045" cy="1165860"/>
          <wp:effectExtent l="0" t="0" r="190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2D5A" w:rsidRDefault="00482D5A">
    <w:pPr>
      <w:pStyle w:val="En-tte"/>
    </w:pPr>
  </w:p>
  <w:p w:rsidR="00482D5A" w:rsidRDefault="00482D5A" w:rsidP="00482D5A">
    <w:pPr>
      <w:pStyle w:val="Default"/>
      <w:rPr>
        <w:rFonts w:cstheme="minorBidi"/>
        <w:color w:val="auto"/>
      </w:rPr>
    </w:pPr>
    <w:r>
      <w:rPr>
        <w:rFonts w:cstheme="minorBidi"/>
        <w:color w:val="auto"/>
      </w:rPr>
      <w:tab/>
    </w:r>
    <w:r>
      <w:rPr>
        <w:rFonts w:cstheme="minorBidi"/>
        <w:color w:val="auto"/>
      </w:rPr>
      <w:tab/>
    </w:r>
  </w:p>
  <w:p w:rsidR="00482D5A" w:rsidRDefault="00482D5A" w:rsidP="00482D5A">
    <w:pPr>
      <w:pStyle w:val="Default"/>
      <w:rPr>
        <w:rFonts w:cstheme="minorBidi"/>
        <w:color w:val="auto"/>
      </w:rPr>
    </w:pPr>
  </w:p>
  <w:p w:rsidR="00482D5A" w:rsidRDefault="00482D5A" w:rsidP="00482D5A">
    <w:pPr>
      <w:pStyle w:val="Default"/>
      <w:rPr>
        <w:rFonts w:cstheme="minorBidi"/>
        <w:color w:val="auto"/>
      </w:rPr>
    </w:pPr>
  </w:p>
  <w:p w:rsidR="00482D5A" w:rsidRDefault="00482D5A" w:rsidP="00482D5A">
    <w:pPr>
      <w:pStyle w:val="Default"/>
      <w:rPr>
        <w:sz w:val="32"/>
        <w:szCs w:val="32"/>
      </w:rPr>
    </w:pPr>
    <w:r>
      <w:rPr>
        <w:rFonts w:cstheme="minorBidi"/>
        <w:color w:val="auto"/>
      </w:rPr>
      <w:tab/>
    </w:r>
    <w:r>
      <w:rPr>
        <w:rFonts w:cstheme="minorBidi"/>
        <w:color w:val="auto"/>
      </w:rPr>
      <w:tab/>
    </w:r>
    <w:r>
      <w:t xml:space="preserve"> </w:t>
    </w:r>
    <w:r>
      <w:rPr>
        <w:sz w:val="32"/>
        <w:szCs w:val="32"/>
      </w:rPr>
      <w:t>ANNEXE 7 - REGLEMENT MEDICAL FFJDA (extrait)</w:t>
    </w:r>
  </w:p>
  <w:p w:rsidR="002A73A7" w:rsidRDefault="002A73A7" w:rsidP="002A73A7">
    <w:pPr>
      <w:pStyle w:val="Default"/>
      <w:ind w:left="1416" w:firstLine="708"/>
      <w:rPr>
        <w:sz w:val="32"/>
        <w:szCs w:val="32"/>
      </w:rPr>
    </w:pPr>
    <w:r w:rsidRPr="0091380A">
      <w:rPr>
        <w:rFonts w:cstheme="minorBidi"/>
        <w:b/>
        <w:color w:val="auto"/>
        <w:sz w:val="28"/>
        <w:szCs w:val="22"/>
      </w:rPr>
      <w:t>TITRE II : OBLIGATIONS MÉDICALES</w:t>
    </w:r>
  </w:p>
  <w:p w:rsidR="0091380A" w:rsidRDefault="0091380A" w:rsidP="00482D5A">
    <w:pPr>
      <w:pStyle w:val="Default"/>
      <w:rPr>
        <w:rFonts w:cstheme="minorBidi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DEF4"/>
    <w:multiLevelType w:val="hybridMultilevel"/>
    <w:tmpl w:val="AB273D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5"/>
    <w:rsid w:val="001D256A"/>
    <w:rsid w:val="002A73A7"/>
    <w:rsid w:val="002F17FE"/>
    <w:rsid w:val="00421655"/>
    <w:rsid w:val="00482D5A"/>
    <w:rsid w:val="004D0AE1"/>
    <w:rsid w:val="004D6033"/>
    <w:rsid w:val="005375D4"/>
    <w:rsid w:val="0058181F"/>
    <w:rsid w:val="005C44B7"/>
    <w:rsid w:val="006325A9"/>
    <w:rsid w:val="00660F66"/>
    <w:rsid w:val="006E013B"/>
    <w:rsid w:val="00767DB9"/>
    <w:rsid w:val="00846C54"/>
    <w:rsid w:val="008C52C6"/>
    <w:rsid w:val="0091380A"/>
    <w:rsid w:val="009D4495"/>
    <w:rsid w:val="00B773BF"/>
    <w:rsid w:val="00D9759A"/>
    <w:rsid w:val="00DE35F8"/>
    <w:rsid w:val="00ED1058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282CC-7A4F-4088-B725-A4188BA5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21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655"/>
  </w:style>
  <w:style w:type="paragraph" w:styleId="Pieddepage">
    <w:name w:val="footer"/>
    <w:basedOn w:val="Normal"/>
    <w:link w:val="PieddepageCar"/>
    <w:uiPriority w:val="99"/>
    <w:unhideWhenUsed/>
    <w:rsid w:val="0042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655"/>
  </w:style>
  <w:style w:type="paragraph" w:styleId="Textedebulles">
    <w:name w:val="Balloon Text"/>
    <w:basedOn w:val="Normal"/>
    <w:link w:val="TextedebullesCar"/>
    <w:uiPriority w:val="99"/>
    <w:semiHidden/>
    <w:unhideWhenUsed/>
    <w:rsid w:val="004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655"/>
    <w:rPr>
      <w:rFonts w:ascii="Tahoma" w:hAnsi="Tahoma" w:cs="Tahoma"/>
      <w:sz w:val="16"/>
      <w:szCs w:val="16"/>
    </w:rPr>
  </w:style>
  <w:style w:type="paragraph" w:customStyle="1" w:styleId="Pa23">
    <w:name w:val="Pa23"/>
    <w:basedOn w:val="Default"/>
    <w:next w:val="Default"/>
    <w:uiPriority w:val="99"/>
    <w:rsid w:val="005375D4"/>
    <w:pPr>
      <w:spacing w:line="201" w:lineRule="atLeast"/>
    </w:pPr>
    <w:rPr>
      <w:rFonts w:ascii="Franklin Gothic Demi" w:hAnsi="Franklin Gothic Demi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375D4"/>
    <w:pPr>
      <w:spacing w:line="161" w:lineRule="atLeast"/>
    </w:pPr>
    <w:rPr>
      <w:rFonts w:ascii="Franklin Gothic Demi" w:hAnsi="Franklin Gothic Demi" w:cstheme="minorBidi"/>
      <w:color w:val="auto"/>
    </w:rPr>
  </w:style>
  <w:style w:type="character" w:customStyle="1" w:styleId="A22">
    <w:name w:val="A22"/>
    <w:uiPriority w:val="99"/>
    <w:rsid w:val="005375D4"/>
    <w:rPr>
      <w:rFonts w:ascii="Franklin Gothic Book" w:hAnsi="Franklin Gothic Book" w:cs="Franklin Gothic Book"/>
      <w:color w:val="000000"/>
      <w:sz w:val="9"/>
      <w:szCs w:val="9"/>
    </w:rPr>
  </w:style>
  <w:style w:type="paragraph" w:customStyle="1" w:styleId="Pa1">
    <w:name w:val="Pa1"/>
    <w:basedOn w:val="Default"/>
    <w:next w:val="Default"/>
    <w:uiPriority w:val="99"/>
    <w:rsid w:val="005375D4"/>
    <w:pPr>
      <w:spacing w:line="401" w:lineRule="atLeast"/>
    </w:pPr>
    <w:rPr>
      <w:rFonts w:ascii="Franklin Gothic Demi" w:hAnsi="Franklin Gothic Demi" w:cstheme="minorBidi"/>
      <w:color w:val="auto"/>
    </w:rPr>
  </w:style>
  <w:style w:type="character" w:customStyle="1" w:styleId="A1">
    <w:name w:val="A1"/>
    <w:uiPriority w:val="99"/>
    <w:rsid w:val="005375D4"/>
    <w:rPr>
      <w:rFonts w:ascii="Sayonara Beveled" w:hAnsi="Sayonara Beveled" w:cs="Sayonara Beveled"/>
      <w:color w:val="000000"/>
      <w:sz w:val="75"/>
      <w:szCs w:val="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B2AA-3D74-4165-A202-7BF8FD39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PEAUCELLE Jean-Marc</dc:creator>
  <cp:lastModifiedBy>PEAUCELLE Jean-Marc</cp:lastModifiedBy>
  <cp:revision>3</cp:revision>
  <cp:lastPrinted>2018-10-21T20:21:00Z</cp:lastPrinted>
  <dcterms:created xsi:type="dcterms:W3CDTF">2019-02-03T19:17:00Z</dcterms:created>
  <dcterms:modified xsi:type="dcterms:W3CDTF">2020-08-27T17:03:00Z</dcterms:modified>
</cp:coreProperties>
</file>